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yrkrtiqeom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yrkrtiqeom</w:t>
      </w:r>
    </w:p>
    <w:p>
      <w:pPr>
        <w:pStyle w:val="BodyText"/>
      </w:pPr>
      <w:r>
        <w:rPr>
          <w:bCs/>
          <w:b/>
        </w:rPr>
        <w:t xml:space="preserve">Company:</w:t>
      </w:r>
      <w:r>
        <w:t xml:space="preserve"> </w:t>
      </w:r>
      <w:r>
        <w:t xml:space="preserve">sxhivoljio</w:t>
      </w:r>
    </w:p>
    <w:p>
      <w:pPr>
        <w:pStyle w:val="BodyText"/>
      </w:pPr>
      <w:r>
        <w:rPr>
          <w:bCs/>
          <w:b/>
        </w:rPr>
        <w:t xml:space="preserve">Senior Sustainability Consultant:</w:t>
      </w:r>
      <w:r>
        <w:t xml:space="preserve"> </w:t>
      </w:r>
      <w:r>
        <w:t xml:space="preserve">lejzjnzgvd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Actual emissions may vary.</w:t>
      </w:r>
    </w:p>
    <w:bookmarkEnd w:id="20"/>
    <w:p>
      <w:pPr>
        <w:pStyle w:val="BodyText"/>
      </w:pPr>
      <w:r>
        <w:t xml:space="preserve">Generated Date: May 22, 2026</w:t>
      </w:r>
    </w:p>
    <w:bookmarkStart w:id="50" w:name="executive-summary"/>
    <w:p>
      <w:pPr>
        <w:pStyle w:val="Heading1"/>
      </w:pPr>
      <w:r>
        <w:t xml:space="preserve">Executive Summary</w:t>
      </w:r>
    </w:p>
    <w:p>
      <w:pPr>
        <w:pStyle w:val="FirstParagraph"/>
      </w:pPr>
      <w:r>
        <w:t xml:space="preserve">This report presents a detailed Product Carbon Footprint (PCF) analysis for yrkrtiqeom, manufactured by sxhivoljio.</w:t>
      </w:r>
      <w:r>
        <w:t xml:space="preserve"> </w:t>
      </w:r>
      <w:r>
        <w:t xml:space="preserve">The assessment adheres strictly to the GHG Protocol, including the 2026 Land Sector and Removals (LSR) Standard update,</w:t>
      </w:r>
      <w:r>
        <w:t xml:space="preserve"> </w:t>
      </w:r>
      <w:r>
        <w:t xml:space="preserve">and aims for at least 95% coverage for Scope 3 emissions reporting, as per current requirements.</w:t>
      </w:r>
      <w:r>
        <w:t xml:space="preserve"> </w:t>
      </w:r>
      <w:r>
        <w:t xml:space="preserve">The analysis identifies key emission hotspots across the product\'s lifecycle, from raw material extraction to end-of-life,</w:t>
      </w:r>
      <w:r>
        <w:t xml:space="preserve"> </w:t>
      </w:r>
      <w:r>
        <w:t xml:space="preserve">providing sxhivoljio with actionable insights for emission reduction strategies.</w:t>
      </w:r>
    </w:p>
    <w:p>
      <w:pPr>
        <w:pStyle w:val="BodyText"/>
      </w:pPr>
      <w:r>
        <w:t xml:space="preserve">The functional unit for this study is 1.0 unit of yrkrtiqeom, with a system boundary set at \'factory_gate\' for initial production assessment,</w:t>
      </w:r>
      <w:r>
        <w:t xml:space="preserve"> </w:t>
      </w:r>
      <w:r>
        <w:t xml:space="preserve">and a broader scope for full lifecycle analysis incorporating upstream and downstream activities.</w:t>
      </w:r>
      <w:r>
        <w:t xml:space="preserve"> </w:t>
      </w:r>
      <w:r>
        <w:t xml:space="preserve">The geographic scope focuses on final production in China, with a supply chain emphasis on European suppliers.</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Functional Unit</w:t>
      </w:r>
    </w:p>
    <w:p>
      <w:pPr>
        <w:numPr>
          <w:ilvl w:val="0"/>
          <w:numId w:val="1001"/>
        </w:numPr>
        <w:pStyle w:val="Compact"/>
      </w:pPr>
      <w:r>
        <w:rPr>
          <w:bCs/>
          <w:b/>
        </w:rPr>
        <w:t xml:space="preserve">Product:</w:t>
      </w:r>
      <w:r>
        <w:t xml:space="preserve"> </w:t>
      </w:r>
      <w:r>
        <w:t xml:space="preserve">yrkrtiqeom</w:t>
      </w:r>
    </w:p>
    <w:p>
      <w:pPr>
        <w:numPr>
          <w:ilvl w:val="0"/>
          <w:numId w:val="1001"/>
        </w:numPr>
        <w:pStyle w:val="Compact"/>
      </w:pPr>
      <w:r>
        <w:rPr>
          <w:bCs/>
          <w:b/>
        </w:rPr>
        <w:t xml:space="preserve">Functional Unit:</w:t>
      </w:r>
      <w:r>
        <w:t xml:space="preserve"> </w:t>
      </w:r>
      <w:r>
        <w:t xml:space="preserve">1.0 unit. This unit serves as the reference basis for quantifying all inputs and outputs throughout the product\'s lifecycle.</w:t>
      </w:r>
    </w:p>
    <w:bookmarkEnd w:id="21"/>
    <w:bookmarkStart w:id="22" w:name="system-boundaries"/>
    <w:p>
      <w:pPr>
        <w:pStyle w:val="Heading3"/>
      </w:pPr>
      <w:r>
        <w:t xml:space="preserve">System Boundaries</w:t>
      </w:r>
    </w:p>
    <w:p>
      <w:pPr>
        <w:numPr>
          <w:ilvl w:val="0"/>
          <w:numId w:val="1002"/>
        </w:numPr>
        <w:pStyle w:val="Compact"/>
      </w:pPr>
      <w:r>
        <w:rPr>
          <w:bCs/>
          <w:b/>
        </w:rPr>
        <w:t xml:space="preserve">Initial System Boundary:</w:t>
      </w:r>
      <w:r>
        <w:t xml:space="preserve"> </w:t>
      </w:r>
      <w:r>
        <w:t xml:space="preserve">factory_gate. This boundary specifically covers emissions associated with the production of yrkrtiqeom up to the point it leaves the manufacturing facility.</w:t>
      </w:r>
    </w:p>
    <w:p>
      <w:pPr>
        <w:numPr>
          <w:ilvl w:val="0"/>
          <w:numId w:val="1002"/>
        </w:numPr>
        <w:pStyle w:val="Compact"/>
      </w:pPr>
      <w:r>
        <w:rPr>
          <w:bCs/>
          <w:b/>
        </w:rPr>
        <w:t xml:space="preserve">Extended System Boundary (Lifecycle Assessment):</w:t>
      </w:r>
      <w:r>
        <w:t xml:space="preserve"> </w:t>
      </w:r>
      <w:r>
        <w:t xml:space="preserve">The analysis extends beyond the factory gate to include upstream (raw material acquisition, transport) and downstream (distribution, use, end-of-life) stages to provide a comprehensive cradle-to-grave PCF.</w:t>
      </w:r>
    </w:p>
    <w:bookmarkEnd w:id="22"/>
    <w:bookmarkStart w:id="23"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 This influences the energy mix and associated emission factors for the manufacturing stage.</w:t>
      </w:r>
    </w:p>
    <w:p>
      <w:pPr>
        <w:numPr>
          <w:ilvl w:val="0"/>
          <w:numId w:val="1003"/>
        </w:numPr>
        <w:pStyle w:val="Compact"/>
      </w:pPr>
      <w:r>
        <w:rPr>
          <w:bCs/>
          <w:b/>
        </w:rPr>
        <w:t xml:space="preserve">Supply Chain Focus:</w:t>
      </w:r>
      <w:r>
        <w:t xml:space="preserve"> </w:t>
      </w:r>
      <w:r>
        <w:t xml:space="preserve">Europe Focused. This implies that upstream material sourcing and intermediate transport often involve European suppliers and logistics networks.</w:t>
      </w:r>
    </w:p>
    <w:bookmarkEnd w:id="23"/>
    <w:bookmarkStart w:id="24" w:name="allocation"/>
    <w:p>
      <w:pPr>
        <w:pStyle w:val="Heading3"/>
      </w:pPr>
      <w:r>
        <w:t xml:space="preserve">Allocation</w:t>
      </w:r>
    </w:p>
    <w:p>
      <w:pPr>
        <w:pStyle w:val="FirstParagraph"/>
      </w:pPr>
      <w:r>
        <w:t xml:space="preserve">Where multi-functional processes or co-products are involved, emissions are allocated based on a physical relationship (e.g., mass, energy content) or economic value, in accordance with GHG Protocol guidelines. For this report, specific allocation details would be applied based on the nature of the production processes of yrkrtiqeom and its components.</w:t>
      </w:r>
    </w:p>
    <w:p>
      <w:r>
        <w:pict>
          <v:rect style="width:0;height:1.5pt" o:hralign="center" o:hrstd="t" o:hr="t"/>
        </w:pict>
      </w:r>
    </w:p>
    <w:bookmarkEnd w:id="24"/>
    <w:bookmarkEnd w:id="25"/>
    <w:bookmarkStart w:id="31" w:name="map-lifecycle-lci-inventory-stages"/>
    <w:p>
      <w:pPr>
        <w:pStyle w:val="Heading2"/>
      </w:pPr>
      <w:r>
        <w:t xml:space="preserve">2. Map Lifecycle (LCI Inventory Stages)</w:t>
      </w:r>
    </w:p>
    <w:p>
      <w:pPr>
        <w:pStyle w:val="FirstParagraph"/>
      </w:pPr>
      <w:r>
        <w:t xml:space="preserve">The lifecycle of yrkrtiqeom is mapped into distinct stages to systematically collect and quantify environmental impacts.</w:t>
      </w:r>
      <w:r>
        <w:t xml:space="preserve"> </w:t>
      </w:r>
      <w:r>
        <w:t xml:space="preserve">This adheres to a cradle-to-grave approach for comprehensive Scope 3 reporting.</w:t>
      </w:r>
    </w:p>
    <w:bookmarkStart w:id="26" w:name="X659256adbe1bab6503567c377b01961aa46c77d"/>
    <w:p>
      <w:pPr>
        <w:pStyle w:val="Heading3"/>
      </w:pPr>
      <w:r>
        <w:t xml:space="preserve">2.1. Raw Material Acquisition &amp; Pre-processing (Upstream - Scope 3, Category 1)</w:t>
      </w:r>
    </w:p>
    <w:p>
      <w:pPr>
        <w:pStyle w:val="FirstParagraph"/>
      </w:pPr>
      <w:r>
        <w:t xml:space="preserve">This stage includes all activities related to the extraction, processing, and manufacturing of raw materials and components used in yrkrtiqeom.</w:t>
      </w:r>
      <w:r>
        <w:t xml:space="preserve"> </w:t>
      </w:r>
      <w:r>
        <w:t xml:space="preserve">The provided Detailed Bill of Materials (BOM) \'tljqhmhm\' is critical for high-accuracy material impact calculation.</w:t>
      </w:r>
      <w:r>
        <w:t xml:space="preserve"> </w:t>
      </w:r>
      <w:r>
        <w:t xml:space="preserve">An illustrative breakdown reflecting the BOM format is shown below. For a real calculation, the actual numerical values of `tljqhmhm` would be parsed and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Component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[Qty_1]</w:t>
            </w:r>
          </w:p>
        </w:tc>
        <w:tc>
          <w:tcPr/>
          <w:p>
            <w:pPr>
              <w:pStyle w:val="Compact"/>
              <w:jc w:val="left"/>
            </w:pPr>
            <w:r>
              <w:t xml:space="preserve">kg</w:t>
            </w:r>
          </w:p>
        </w:tc>
        <w:tc>
          <w:tcPr/>
          <w:p>
            <w:pPr>
              <w:pStyle w:val="Compact"/>
              <w:jc w:val="left"/>
            </w:pPr>
            <w:r>
              <w:t xml:space="preserve">[EF_1]</w:t>
            </w:r>
          </w:p>
        </w:tc>
        <w:tc>
          <w:tcPr/>
          <w:p>
            <w:pPr>
              <w:pStyle w:val="Compact"/>
              <w:jc w:val="left"/>
            </w:pPr>
            <w:r>
              <w:t xml:space="preserve">[TotalCarbon_1]</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 Machining</w:t>
            </w:r>
          </w:p>
        </w:tc>
        <w:tc>
          <w:tcPr/>
          <w:p>
            <w:pPr>
              <w:pStyle w:val="Compact"/>
              <w:jc w:val="left"/>
            </w:pPr>
            <w:r>
              <w:t xml:space="preserve">[Qty_2]</w:t>
            </w:r>
          </w:p>
        </w:tc>
        <w:tc>
          <w:tcPr/>
          <w:p>
            <w:pPr>
              <w:pStyle w:val="Compact"/>
              <w:jc w:val="left"/>
            </w:pPr>
            <w:r>
              <w:t xml:space="preserve">grams</w:t>
            </w:r>
          </w:p>
        </w:tc>
        <w:tc>
          <w:tcPr/>
          <w:p>
            <w:pPr>
              <w:pStyle w:val="Compact"/>
              <w:jc w:val="left"/>
            </w:pPr>
            <w:r>
              <w:t xml:space="preserve">[EF_2]</w:t>
            </w:r>
          </w:p>
        </w:tc>
        <w:tc>
          <w:tcPr/>
          <w:p>
            <w:pPr>
              <w:pStyle w:val="Compact"/>
              <w:jc w:val="left"/>
            </w:pPr>
            <w:r>
              <w:t xml:space="preserve">[TotalCarbon_2]</w:t>
            </w:r>
          </w:p>
        </w:tc>
      </w:tr>
      <w:tr>
        <w:tc>
          <w:tcPr/>
          <w:p>
            <w:pPr>
              <w:pStyle w:val="Compact"/>
              <w:jc w:val="left"/>
            </w:pPr>
            <w:r>
              <w:t xml:space="preserve">M-003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[Qty_3]</w:t>
            </w:r>
          </w:p>
        </w:tc>
        <w:tc>
          <w:tcPr/>
          <w:p>
            <w:pPr>
              <w:pStyle w:val="Compact"/>
              <w:jc w:val="left"/>
            </w:pPr>
            <w:r>
              <w:t xml:space="preserve">unit</w:t>
            </w:r>
          </w:p>
        </w:tc>
        <w:tc>
          <w:tcPr/>
          <w:p>
            <w:pPr>
              <w:pStyle w:val="Compact"/>
              <w:jc w:val="left"/>
            </w:pPr>
            <w:r>
              <w:t xml:space="preserve">[EF_3]</w:t>
            </w:r>
          </w:p>
        </w:tc>
        <w:tc>
          <w:tcPr/>
          <w:p>
            <w:pPr>
              <w:pStyle w:val="Compact"/>
              <w:jc w:val="left"/>
            </w:pPr>
            <w:r>
              <w:t xml:space="preserve">[TotalCarbon_3]</w:t>
            </w:r>
          </w:p>
        </w:tc>
      </w:tr>
      <w:tr>
        <w:tc>
          <w:tcPr/>
          <w:p>
            <w:pPr>
              <w:pStyle w:val="Compact"/>
              <w:jc w:val="left"/>
            </w:pPr>
            <w:r>
              <w:t xml:space="preserve">M-004</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[Qty_4]</w:t>
            </w:r>
          </w:p>
        </w:tc>
        <w:tc>
          <w:tcPr/>
          <w:p>
            <w:pPr>
              <w:pStyle w:val="Compact"/>
              <w:jc w:val="left"/>
            </w:pPr>
            <w:r>
              <w:t xml:space="preserve">kg</w:t>
            </w:r>
          </w:p>
        </w:tc>
        <w:tc>
          <w:tcPr/>
          <w:p>
            <w:pPr>
              <w:pStyle w:val="Compact"/>
              <w:jc w:val="left"/>
            </w:pPr>
            <w:r>
              <w:t xml:space="preserve">[EF_4]</w:t>
            </w:r>
          </w:p>
        </w:tc>
        <w:tc>
          <w:tcPr/>
          <w:p>
            <w:pPr>
              <w:pStyle w:val="Compact"/>
              <w:jc w:val="left"/>
            </w:pPr>
            <w:r>
              <w:t xml:space="preserve">[TotalCarbon_4]</w:t>
            </w:r>
          </w:p>
        </w:tc>
      </w:tr>
      <w:tr>
        <w:tc>
          <w:tcPr>
            <w:gridSpan w:val="8"/>
          </w:tcPr>
          <w:p>
            <w:pPr>
              <w:pStyle w:val="Compact"/>
              <w:jc w:val="left"/>
            </w:pPr>
            <w:r>
              <w:rPr>
                <w:iCs/>
                <w:i/>
              </w:rPr>
              <w:t xml:space="preserve">Note: The above table illustrates the structure of the Detailed Bill of Materials (BOM) \'tljqhmhm\'. For actual calculations, the specific numerical values for Qty, Emission Factor, and Total Carbon would be extracted from the provided BOM data.</w:t>
            </w:r>
          </w:p>
        </w:tc>
      </w:tr>
    </w:tbl>
    <w:bookmarkEnd w:id="26"/>
    <w:bookmarkStart w:id="27" w:name="X754e5f8fff89ab036ebff80617fdb739124b201"/>
    <w:p>
      <w:pPr>
        <w:pStyle w:val="Heading3"/>
      </w:pPr>
      <w:r>
        <w:t xml:space="preserve">2.2. Manufacturing / Production (Scope 1 &amp; 2, and Scope 3, Category 1)</w:t>
      </w:r>
    </w:p>
    <w:p>
      <w:pPr>
        <w:pStyle w:val="FirstParagraph"/>
      </w:pPr>
      <w:r>
        <w:t xml:space="preserve">This stage encompasses all processes within the sxhivoljio manufacturing facility in China, leading to the creation of yrkrtiqeom.</w:t>
      </w:r>
    </w:p>
    <w:p>
      <w:pPr>
        <w:numPr>
          <w:ilvl w:val="0"/>
          <w:numId w:val="1004"/>
        </w:numPr>
        <w:pStyle w:val="Compact"/>
      </w:pPr>
      <w:r>
        <w:rPr>
          <w:bCs/>
          <w:b/>
        </w:rPr>
        <w:t xml:space="preserve">Energy Consumption:</w:t>
      </w:r>
      <w:r>
        <w:t xml:space="preserve"> </w:t>
      </w:r>
      <w:r>
        <w:t xml:space="preserve">Energy intensity is \'nymgevmuft\' kWh/unit. Renewable energy usage is \'jxrhudrzir\'. This significantly impacts Scope 2 emissions.</w:t>
      </w:r>
    </w:p>
    <w:p>
      <w:pPr>
        <w:numPr>
          <w:ilvl w:val="0"/>
          <w:numId w:val="1004"/>
        </w:numPr>
        <w:pStyle w:val="Compact"/>
      </w:pPr>
      <w:r>
        <w:rPr>
          <w:bCs/>
          <w:b/>
        </w:rPr>
        <w:t xml:space="preserve">On-site Processes:</w:t>
      </w:r>
      <w:r>
        <w:t xml:space="preserve"> </w:t>
      </w:r>
      <w:r>
        <w:t xml:space="preserve">Direct emissions from manufacturing processes, if any (e.g., specific chemical reactions, fugitive emissions), contribute to Scope 1.</w:t>
      </w:r>
    </w:p>
    <w:p>
      <w:pPr>
        <w:numPr>
          <w:ilvl w:val="0"/>
          <w:numId w:val="1004"/>
        </w:numPr>
        <w:pStyle w:val="Compact"/>
      </w:pPr>
      <w:r>
        <w:rPr>
          <w:bCs/>
          <w:b/>
        </w:rPr>
        <w:t xml:space="preserve">Waste Generation:</w:t>
      </w:r>
      <w:r>
        <w:t xml:space="preserve"> </w:t>
      </w:r>
      <w:r>
        <w:t xml:space="preserve">Waste from manufacturing (landfilled, incinerated, recycled) contributes to Scope 3, Category 5 (Waste generated in operations).</w:t>
      </w:r>
    </w:p>
    <w:bookmarkEnd w:id="27"/>
    <w:bookmarkStart w:id="28" w:name="X2fdb2607d5defb6057476dcb787faad35997999"/>
    <w:p>
      <w:pPr>
        <w:pStyle w:val="Heading3"/>
      </w:pPr>
      <w:r>
        <w:t xml:space="preserve">2.3. Transportation &amp; Distribution (Upstream/Downstream - Scope 3, Categories 4 &amp; 9)</w:t>
      </w:r>
    </w:p>
    <w:p>
      <w:pPr>
        <w:pStyle w:val="FirstParagraph"/>
      </w:pPr>
      <w:r>
        <w:t xml:space="preserve">Emissions from transporting raw materials to the factory (upstream) and distributing the finished product to the customer (downstream).</w:t>
      </w:r>
    </w:p>
    <w:p>
      <w:pPr>
        <w:numPr>
          <w:ilvl w:val="0"/>
          <w:numId w:val="1005"/>
        </w:numPr>
        <w:pStyle w:val="Compact"/>
      </w:pPr>
      <w:r>
        <w:rPr>
          <w:bCs/>
          <w:b/>
        </w:rPr>
        <w:t xml:space="preserve">Upstream Transport:</w:t>
      </w:r>
      <w:r>
        <w:t xml:space="preserve"> </w:t>
      </w:r>
      <w:r>
        <w:t xml:space="preserve">From European suppliers to China.</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dzwojgqlge.</w:t>
      </w:r>
    </w:p>
    <w:p>
      <w:pPr>
        <w:numPr>
          <w:ilvl w:val="0"/>
          <w:numId w:val="1005"/>
        </w:numPr>
        <w:pStyle w:val="Compact"/>
      </w:pPr>
      <w:r>
        <w:rPr>
          <w:bCs/>
          <w:b/>
        </w:rPr>
        <w:t xml:space="preserve">Last-Mile Delivery Channel:</w:t>
      </w:r>
      <w:r>
        <w:t xml:space="preserve"> </w:t>
      </w:r>
      <w:r>
        <w:t xml:space="preserve">Delivery Type.</w:t>
      </w:r>
    </w:p>
    <w:bookmarkEnd w:id="28"/>
    <w:bookmarkStart w:id="29" w:name="X01fffecb4d51cf9638741502492363d57dc681a"/>
    <w:p>
      <w:pPr>
        <w:pStyle w:val="Heading3"/>
      </w:pPr>
      <w:r>
        <w:t xml:space="preserve">2.4. Use Phase (Downstream - Scope 3, Category 11)</w:t>
      </w:r>
    </w:p>
    <w:p>
      <w:pPr>
        <w:pStyle w:val="FirstParagraph"/>
      </w:pPr>
      <w:r>
        <w:t xml:space="preserve">Emissions generated during the active use of yrkrtiqeom by the end-consumer.</w:t>
      </w:r>
    </w:p>
    <w:p>
      <w:pPr>
        <w:numPr>
          <w:ilvl w:val="0"/>
          <w:numId w:val="1006"/>
        </w:numPr>
        <w:pStyle w:val="Compact"/>
      </w:pPr>
      <w:r>
        <w:rPr>
          <w:bCs/>
          <w:b/>
        </w:rPr>
        <w:t xml:space="preserve">Product Lifespan:</w:t>
      </w:r>
      <w:r>
        <w:t xml:space="preserve"> </w:t>
      </w:r>
      <w:r>
        <w:t xml:space="preserve">emojhwsqdg.</w:t>
      </w:r>
    </w:p>
    <w:p>
      <w:pPr>
        <w:numPr>
          <w:ilvl w:val="0"/>
          <w:numId w:val="1006"/>
        </w:numPr>
        <w:pStyle w:val="Compact"/>
      </w:pPr>
      <w:r>
        <w:rPr>
          <w:bCs/>
          <w:b/>
        </w:rPr>
        <w:t xml:space="preserve">Energy Consumption in Use:</w:t>
      </w:r>
      <w:r>
        <w:t xml:space="preserve"> </w:t>
      </w:r>
      <w:r>
        <w:t xml:space="preserve">ejjszloszv.</w:t>
      </w:r>
    </w:p>
    <w:bookmarkEnd w:id="29"/>
    <w:bookmarkStart w:id="30" w:name="Xfd069e7e5106f6c55e532b52df751e12046219f"/>
    <w:p>
      <w:pPr>
        <w:pStyle w:val="Heading3"/>
      </w:pPr>
      <w:r>
        <w:t xml:space="preserve">2.5. End-of-Life (Downstream - Scope 3, Category 12)</w:t>
      </w:r>
    </w:p>
    <w:p>
      <w:pPr>
        <w:pStyle w:val="FirstParagraph"/>
      </w:pPr>
      <w:r>
        <w:t xml:space="preserve">This stage accounts for the disposal or recovery of yrkrtiqeom at the end of its useful life.</w:t>
      </w:r>
    </w:p>
    <w:p>
      <w:pPr>
        <w:numPr>
          <w:ilvl w:val="0"/>
          <w:numId w:val="1007"/>
        </w:numPr>
        <w:pStyle w:val="Compact"/>
      </w:pPr>
      <w:r>
        <w:rPr>
          <w:bCs/>
          <w:b/>
        </w:rPr>
        <w:t xml:space="preserve">Recyclability Percentage:</w:t>
      </w:r>
      <w:r>
        <w:t xml:space="preserve"> </w:t>
      </w:r>
      <w:r>
        <w:t xml:space="preserve">wsnrmpgtdy.</w:t>
      </w:r>
    </w:p>
    <w:p>
      <w:pPr>
        <w:numPr>
          <w:ilvl w:val="0"/>
          <w:numId w:val="1007"/>
        </w:numPr>
        <w:pStyle w:val="Compact"/>
      </w:pPr>
      <w:r>
        <w:rPr>
          <w:bCs/>
          <w:b/>
        </w:rPr>
        <w:t xml:space="preserve">Circular/Take-back Programs:</w:t>
      </w:r>
      <w:r>
        <w:t xml:space="preserve"> </w:t>
      </w:r>
      <w:r>
        <w:t xml:space="preserve">gyjipxwgmh. These programs can significantly reduce end-of-life emissions by promoting reuse, recycling, or remanufacturing.</w:t>
      </w:r>
    </w:p>
    <w:p>
      <w:r>
        <w:pict>
          <v:rect style="width:0;height:1.5pt" o:hralign="center" o:hrstd="t" o:hr="t"/>
        </w:pict>
      </w:r>
    </w:p>
    <w:bookmarkEnd w:id="30"/>
    <w:bookmarkEnd w:id="31"/>
    <w:bookmarkStart w:id="37" w:name="Xb57f50a89bf1f3f1837369be949d9d60d6c1272"/>
    <w:p>
      <w:pPr>
        <w:pStyle w:val="Heading2"/>
      </w:pPr>
      <w:r>
        <w:t xml:space="preserve">3. Collect Data (Primary/Secondary Data Points)</w:t>
      </w:r>
    </w:p>
    <w:p>
      <w:pPr>
        <w:pStyle w:val="FirstParagraph"/>
      </w:pPr>
      <w:r>
        <w:t xml:space="preserve">Data collection integrates both primary (company-specific) and secondary (industry average) sources to ensure accuracy and comprehensive coverage.</w:t>
      </w:r>
    </w:p>
    <w:bookmarkStart w:id="32" w:name="material-inputs-data"/>
    <w:p>
      <w:pPr>
        <w:pStyle w:val="Heading3"/>
      </w:pPr>
      <w:r>
        <w:t xml:space="preserve">3.1. Material Inputs Data</w:t>
      </w:r>
    </w:p>
    <w:p>
      <w:pPr>
        <w:pStyle w:val="FirstParagraph"/>
      </w:pPr>
      <w:r>
        <w:t xml:space="preserve">The Detailed Bill of Materials (BOM) \'tljqhmhm\' serves as the primary data source for material inputs. For illustrative purposes, and assuming \'tljqhmhm\' translates to specific values, the data points for material impact calculation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(from \'tljqhmhm\')</w:t>
            </w:r>
          </w:p>
        </w:tc>
        <w:tc>
          <w:tcPr/>
          <w:p>
            <w:pPr>
              <w:pStyle w:val="Compact"/>
              <w:jc w:val="left"/>
            </w:pPr>
            <w:r>
              <w:t xml:space="preserve">Source</w:t>
            </w:r>
          </w:p>
        </w:tc>
      </w:tr>
      <w:tr>
        <w:tc>
          <w:tcPr/>
          <w:p>
            <w:pPr>
              <w:pStyle w:val="Compact"/>
              <w:jc w:val="left"/>
            </w:pPr>
            <w:r>
              <w:t xml:space="preserve">Raw Material Categories</w:t>
            </w:r>
          </w:p>
        </w:tc>
        <w:tc>
          <w:tcPr/>
          <w:p>
            <w:pPr>
              <w:pStyle w:val="Compact"/>
              <w:jc w:val="left"/>
            </w:pPr>
            <w:r>
              <w:t xml:space="preserve">Plastics, Metals, Electronics, Paper/Wood</w:t>
            </w:r>
          </w:p>
        </w:tc>
        <w:tc>
          <w:tcPr/>
          <w:p>
            <w:pPr>
              <w:pStyle w:val="Compact"/>
              <w:jc w:val="left"/>
            </w:pPr>
            <w:r>
              <w:t xml:space="preserve">BOM (tljqhmhm)</w:t>
            </w:r>
          </w:p>
        </w:tc>
      </w:tr>
      <w:tr>
        <w:tc>
          <w:tcPr/>
          <w:p>
            <w:pPr>
              <w:pStyle w:val="Compact"/>
              <w:jc w:val="left"/>
            </w:pPr>
            <w:r>
              <w:t xml:space="preserve">Material Quantities</w:t>
            </w:r>
          </w:p>
        </w:tc>
        <w:tc>
          <w:tcPr/>
          <w:p>
            <w:pPr>
              <w:pStyle w:val="Compact"/>
              <w:jc w:val="left"/>
            </w:pPr>
            <w:r>
              <w:t xml:space="preserve">[Qty_1], [Qty_2], [Qty_3], [Qty_4]</w:t>
            </w:r>
          </w:p>
        </w:tc>
        <w:tc>
          <w:tcPr/>
          <w:p>
            <w:pPr>
              <w:pStyle w:val="Compact"/>
              <w:jc w:val="left"/>
            </w:pPr>
            <w:r>
              <w:t xml:space="preserve">BOM (tljqhmhm)</w:t>
            </w:r>
          </w:p>
        </w:tc>
      </w:tr>
      <w:tr>
        <w:tc>
          <w:tcPr/>
          <w:p>
            <w:pPr>
              <w:pStyle w:val="Compact"/>
              <w:jc w:val="left"/>
            </w:pPr>
            <w:r>
              <w:t xml:space="preserve">Material Emission Factors</w:t>
            </w:r>
          </w:p>
        </w:tc>
        <w:tc>
          <w:tcPr/>
          <w:p>
            <w:pPr>
              <w:pStyle w:val="Compact"/>
              <w:jc w:val="left"/>
            </w:pPr>
            <w:r>
              <w:t xml:space="preserve">[EF_1], [EF_2], [EF_3], [EF_4] kg CO2e/unit</w:t>
            </w:r>
          </w:p>
        </w:tc>
        <w:tc>
          <w:tcPr/>
          <w:p>
            <w:pPr>
              <w:pStyle w:val="Compact"/>
              <w:jc w:val="left"/>
            </w:pPr>
            <w:r>
              <w:t xml:space="preserve">BOM (tljqhmhm) / Ecoinvent / DEFRA</w:t>
            </w:r>
          </w:p>
        </w:tc>
      </w:tr>
    </w:tbl>
    <w:p>
      <w:pPr>
        <w:pStyle w:val="BodyText"/>
      </w:pPr>
      <w:r>
        <w:t xml:space="preserve">For any material not explicitly covered in \'tljqhmhm\' (should it be incomplete or represent aggregated data), secondary emission factors from databases like Ecoinvent or DEFRA will be utilized to maintain comprehensive Scope 3 coverage.</w:t>
      </w:r>
    </w:p>
    <w:bookmarkEnd w:id="32"/>
    <w:bookmarkStart w:id="33" w:name="energy-inputs-data"/>
    <w:p>
      <w:pPr>
        <w:pStyle w:val="Heading3"/>
      </w:pPr>
      <w:r>
        <w:t xml:space="preserve">3.2. Energy Inputs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Energy Intensity (Production)</w:t>
            </w:r>
          </w:p>
        </w:tc>
        <w:tc>
          <w:tcPr/>
          <w:p>
            <w:pPr>
              <w:pStyle w:val="Compact"/>
              <w:jc w:val="left"/>
            </w:pPr>
            <w:r>
              <w:t xml:space="preserve">nymgevmuft kWh/unit</w:t>
            </w:r>
          </w:p>
        </w:tc>
        <w:tc>
          <w:tcPr/>
          <w:p>
            <w:pPr>
              <w:pStyle w:val="Compact"/>
              <w:jc w:val="left"/>
            </w:pPr>
            <w:r>
              <w:t xml:space="preserve">Company-provided data</w:t>
            </w:r>
          </w:p>
        </w:tc>
      </w:tr>
      <w:tr>
        <w:tc>
          <w:tcPr/>
          <w:p>
            <w:pPr>
              <w:pStyle w:val="Compact"/>
              <w:jc w:val="left"/>
            </w:pPr>
            <w:r>
              <w:t xml:space="preserve">Renewable Energy Usage (Production)</w:t>
            </w:r>
          </w:p>
        </w:tc>
        <w:tc>
          <w:tcPr/>
          <w:p>
            <w:pPr>
              <w:pStyle w:val="Compact"/>
              <w:jc w:val="left"/>
            </w:pPr>
            <w:r>
              <w:t xml:space="preserve">jxrhudrzir</w:t>
            </w:r>
          </w:p>
        </w:tc>
        <w:tc>
          <w:tcPr/>
          <w:p>
            <w:pPr>
              <w:pStyle w:val="Compact"/>
              <w:jc w:val="left"/>
            </w:pPr>
            <w:r>
              <w:t xml:space="preserve">Company-provided data. This will reduce Scope 2 emissions proportionally.</w:t>
            </w:r>
          </w:p>
        </w:tc>
      </w:tr>
      <w:tr>
        <w:tc>
          <w:tcPr/>
          <w:p>
            <w:pPr>
              <w:pStyle w:val="Compact"/>
              <w:jc w:val="left"/>
            </w:pPr>
            <w:r>
              <w:t xml:space="preserve">Energy Mix Emission Factor (China)</w:t>
            </w:r>
          </w:p>
        </w:tc>
        <w:tc>
          <w:tcPr/>
          <w:p>
            <w:pPr>
              <w:pStyle w:val="Compact"/>
              <w:jc w:val="left"/>
            </w:pPr>
            <w:r>
              <w:t xml:space="preserve">[Country-specific EF for China\'s grid electricity] kg CO2e/kWh</w:t>
            </w:r>
          </w:p>
        </w:tc>
        <w:tc>
          <w:tcPr/>
          <w:p>
            <w:pPr>
              <w:pStyle w:val="Compact"/>
              <w:jc w:val="left"/>
            </w:pPr>
            <w:r>
              <w:t xml:space="preserve">Ecoinvent / IEA / Local Grid Operator</w:t>
            </w:r>
          </w:p>
        </w:tc>
      </w:tr>
    </w:tbl>
    <w:bookmarkEnd w:id="33"/>
    <w:bookmarkStart w:id="34" w:name="logistics-data"/>
    <w:p>
      <w:pPr>
        <w:pStyle w:val="Heading3"/>
      </w:pPr>
      <w:r>
        <w:t xml:space="preserve">3.3. Logistics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Transport Mode (Upstream/Downstream)</w:t>
            </w:r>
          </w:p>
        </w:tc>
        <w:tc>
          <w:tcPr/>
          <w:p>
            <w:pPr>
              <w:pStyle w:val="Compact"/>
              <w:jc w:val="left"/>
            </w:pPr>
            <w:r>
              <w:t xml:space="preserve">Select Mode</w:t>
            </w:r>
          </w:p>
        </w:tc>
        <w:tc>
          <w:tcPr/>
          <w:p>
            <w:pPr>
              <w:pStyle w:val="Compact"/>
              <w:jc w:val="left"/>
            </w:pPr>
            <w:r>
              <w:t xml:space="preserve">Company-provided data</w:t>
            </w:r>
          </w:p>
        </w:tc>
      </w:tr>
      <w:tr>
        <w:tc>
          <w:tcPr/>
          <w:p>
            <w:pPr>
              <w:pStyle w:val="Compact"/>
              <w:jc w:val="left"/>
            </w:pPr>
            <w:r>
              <w:t xml:space="preserve">Transport Distance</w:t>
            </w:r>
          </w:p>
        </w:tc>
        <w:tc>
          <w:tcPr/>
          <w:p>
            <w:pPr>
              <w:pStyle w:val="Compact"/>
              <w:jc w:val="left"/>
            </w:pPr>
            <w:r>
              <w:t xml:space="preserve">dzwojgqlge</w:t>
            </w:r>
          </w:p>
        </w:tc>
        <w:tc>
          <w:tcPr/>
          <w:p>
            <w:pPr>
              <w:pStyle w:val="Compact"/>
              <w:jc w:val="left"/>
            </w:pPr>
            <w:r>
              <w:t xml:space="preserve">Company-provided data</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Company-provided data</w:t>
            </w:r>
          </w:p>
        </w:tc>
      </w:tr>
      <w:tr>
        <w:tc>
          <w:tcPr/>
          <w:p>
            <w:pPr>
              <w:pStyle w:val="Compact"/>
              <w:jc w:val="left"/>
            </w:pPr>
            <w:r>
              <w:t xml:space="preserve">Transport Emission Factors</w:t>
            </w:r>
          </w:p>
        </w:tc>
        <w:tc>
          <w:tcPr/>
          <w:p>
            <w:pPr>
              <w:pStyle w:val="Compact"/>
              <w:jc w:val="left"/>
            </w:pPr>
            <w:r>
              <w:t xml:space="preserve">[Mode-specific EF] kg CO2e/tkm or kg CO2e/vkm</w:t>
            </w:r>
          </w:p>
        </w:tc>
        <w:tc>
          <w:tcPr/>
          <w:p>
            <w:pPr>
              <w:pStyle w:val="Compact"/>
              <w:jc w:val="left"/>
            </w:pPr>
            <w:r>
              <w:t xml:space="preserve">Ecoinvent / DEFRA</w:t>
            </w:r>
          </w:p>
        </w:tc>
      </w:tr>
    </w:tbl>
    <w:bookmarkEnd w:id="34"/>
    <w:bookmarkStart w:id="35" w:name="use-phase-data"/>
    <w:p>
      <w:pPr>
        <w:pStyle w:val="Heading3"/>
      </w:pPr>
      <w:r>
        <w:t xml:space="preserve">3.4. Use Phase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Product Lifespan</w:t>
            </w:r>
          </w:p>
        </w:tc>
        <w:tc>
          <w:tcPr/>
          <w:p>
            <w:pPr>
              <w:pStyle w:val="Compact"/>
              <w:jc w:val="left"/>
            </w:pPr>
            <w:r>
              <w:t xml:space="preserve">emojhwsqdg</w:t>
            </w:r>
          </w:p>
        </w:tc>
        <w:tc>
          <w:tcPr/>
          <w:p>
            <w:pPr>
              <w:pStyle w:val="Compact"/>
              <w:jc w:val="left"/>
            </w:pPr>
            <w:r>
              <w:t xml:space="preserve">Company-provided data / User survey data</w:t>
            </w:r>
          </w:p>
        </w:tc>
      </w:tr>
      <w:tr>
        <w:tc>
          <w:tcPr/>
          <w:p>
            <w:pPr>
              <w:pStyle w:val="Compact"/>
              <w:jc w:val="left"/>
            </w:pPr>
            <w:r>
              <w:t xml:space="preserve">Energy Consumption in Use</w:t>
            </w:r>
          </w:p>
        </w:tc>
        <w:tc>
          <w:tcPr/>
          <w:p>
            <w:pPr>
              <w:pStyle w:val="Compact"/>
              <w:jc w:val="left"/>
            </w:pPr>
            <w:r>
              <w:t xml:space="preserve">ejjszloszv</w:t>
            </w:r>
          </w:p>
        </w:tc>
        <w:tc>
          <w:tcPr/>
          <w:p>
            <w:pPr>
              <w:pStyle w:val="Compact"/>
              <w:jc w:val="left"/>
            </w:pPr>
            <w:r>
              <w:t xml:space="preserve">Product specifications / Usage estimates</w:t>
            </w:r>
          </w:p>
        </w:tc>
      </w:tr>
      <w:tr>
        <w:tc>
          <w:tcPr/>
          <w:p>
            <w:pPr>
              <w:pStyle w:val="Compact"/>
              <w:jc w:val="left"/>
            </w:pPr>
            <w:r>
              <w:t xml:space="preserve">Use Phase Energy Emission Factor</w:t>
            </w:r>
          </w:p>
        </w:tc>
        <w:tc>
          <w:tcPr/>
          <w:p>
            <w:pPr>
              <w:pStyle w:val="Compact"/>
              <w:jc w:val="left"/>
            </w:pPr>
            <w:r>
              <w:t xml:space="preserve">[Regional grid EF] kg CO2e/kWh</w:t>
            </w:r>
          </w:p>
        </w:tc>
        <w:tc>
          <w:tcPr/>
          <w:p>
            <w:pPr>
              <w:pStyle w:val="Compact"/>
              <w:jc w:val="left"/>
            </w:pPr>
            <w:r>
              <w:t xml:space="preserve">Ecoinvent / IEA</w:t>
            </w:r>
          </w:p>
        </w:tc>
      </w:tr>
    </w:tbl>
    <w:bookmarkEnd w:id="35"/>
    <w:bookmarkStart w:id="36" w:name="end-of-life-data"/>
    <w:p>
      <w:pPr>
        <w:pStyle w:val="Heading3"/>
      </w:pPr>
      <w:r>
        <w:t xml:space="preserve">3.5. End-of-Life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Recyclability Percentage</w:t>
            </w:r>
          </w:p>
        </w:tc>
        <w:tc>
          <w:tcPr/>
          <w:p>
            <w:pPr>
              <w:pStyle w:val="Compact"/>
              <w:jc w:val="left"/>
            </w:pPr>
            <w:r>
              <w:t xml:space="preserve">wsnrmpgtdy</w:t>
            </w:r>
          </w:p>
        </w:tc>
        <w:tc>
          <w:tcPr/>
          <w:p>
            <w:pPr>
              <w:pStyle w:val="Compact"/>
              <w:jc w:val="left"/>
            </w:pPr>
            <w:r>
              <w:t xml:space="preserve">Product design specifications / Industry data</w:t>
            </w:r>
          </w:p>
        </w:tc>
      </w:tr>
      <w:tr>
        <w:tc>
          <w:tcPr/>
          <w:p>
            <w:pPr>
              <w:pStyle w:val="Compact"/>
              <w:jc w:val="left"/>
            </w:pPr>
            <w:r>
              <w:t xml:space="preserve">Circular/Take-back Programs</w:t>
            </w:r>
          </w:p>
        </w:tc>
        <w:tc>
          <w:tcPr/>
          <w:p>
            <w:pPr>
              <w:pStyle w:val="Compact"/>
              <w:jc w:val="left"/>
            </w:pPr>
            <w:r>
              <w:t xml:space="preserve">gyjipxwgmh</w:t>
            </w:r>
          </w:p>
        </w:tc>
        <w:tc>
          <w:tcPr/>
          <w:p>
            <w:pPr>
              <w:pStyle w:val="Compact"/>
              <w:jc w:val="left"/>
            </w:pPr>
            <w:r>
              <w:t xml:space="preserve">Company policy / Program details</w:t>
            </w:r>
          </w:p>
        </w:tc>
      </w:tr>
      <w:tr>
        <w:tc>
          <w:tcPr/>
          <w:p>
            <w:pPr>
              <w:pStyle w:val="Compact"/>
              <w:jc w:val="left"/>
            </w:pPr>
            <w:r>
              <w:t xml:space="preserve">End-of-Life Treatment Emission Factors</w:t>
            </w:r>
          </w:p>
        </w:tc>
        <w:tc>
          <w:tcPr/>
          <w:p>
            <w:pPr>
              <w:pStyle w:val="Compact"/>
              <w:jc w:val="left"/>
            </w:pPr>
            <w:r>
              <w:t xml:space="preserve">[Landfill EF], [Incineration EF], [Recycling Credits]</w:t>
            </w:r>
          </w:p>
        </w:tc>
        <w:tc>
          <w:tcPr/>
          <w:p>
            <w:pPr>
              <w:pStyle w:val="Compact"/>
              <w:jc w:val="left"/>
            </w:pPr>
            <w:r>
              <w:t xml:space="preserve">Ecoinvent / DEFRA</w:t>
            </w:r>
          </w:p>
        </w:tc>
      </w:tr>
    </w:tbl>
    <w:p>
      <w:r>
        <w:pict>
          <v:rect style="width:0;height:1.5pt" o:hralign="center" o:hrstd="t" o:hr="t"/>
        </w:pict>
      </w:r>
    </w:p>
    <w:bookmarkEnd w:id="36"/>
    <w:bookmarkEnd w:id="37"/>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by multiplying the activity data (e.g., quantity of material, energy consumed, distance traveled) by the relevant emission factor.</w:t>
      </w:r>
      <w:r>
        <w:t xml:space="preserve"> </w:t>
      </w:r>
      <w:r>
        <w:t xml:space="preserve">All calculations are performed in accordance with the GHG Protocol.</w:t>
      </w:r>
    </w:p>
    <w:bookmarkStart w:id="41" w:name="ghg-protocol-categorization-scope-1-2-3"/>
    <w:p>
      <w:pPr>
        <w:pStyle w:val="Heading3"/>
      </w:pPr>
      <w:r>
        <w:t xml:space="preserve">4.1. GHG Protocol Categorization (Scope 1, 2, &amp; 3)</w:t>
      </w:r>
    </w:p>
    <w:bookmarkStart w:id="38" w:name="scope-1-direct-emissions"/>
    <w:p>
      <w:pPr>
        <w:pStyle w:val="Heading4"/>
      </w:pPr>
      <w:r>
        <w:t xml:space="preserve">Scope 1: Direct Emissions</w:t>
      </w:r>
    </w:p>
    <w:p>
      <w:pPr>
        <w:numPr>
          <w:ilvl w:val="0"/>
          <w:numId w:val="1008"/>
        </w:numPr>
        <w:pStyle w:val="Compact"/>
      </w:pPr>
      <w:r>
        <w:rPr>
          <w:bCs/>
          <w:b/>
        </w:rPr>
        <w:t xml:space="preserve">Sources:</w:t>
      </w:r>
      <w:r>
        <w:t xml:space="preserve"> </w:t>
      </w:r>
      <w:r>
        <w:t xml:space="preserve">Emissions from direct operations owned or controlled by sxhivoljio in the production of yrkrtiqeom (e.g., on-site fuel combustion, process emissions specific to manufacturing yrkrtiqeom).</w:t>
      </w:r>
    </w:p>
    <w:p>
      <w:pPr>
        <w:numPr>
          <w:ilvl w:val="0"/>
          <w:numId w:val="1008"/>
        </w:numPr>
        <w:pStyle w:val="Compact"/>
      </w:pPr>
      <w:r>
        <w:rPr>
          <w:bCs/>
          <w:b/>
        </w:rPr>
        <w:t xml:space="preserve">Calculation:</w:t>
      </w:r>
      <w:r>
        <w:t xml:space="preserve"> </w:t>
      </w:r>
      <w:r>
        <w:t xml:space="preserve">For example, if on-site natural gas is used, Volume of Natural Gas (GJ) * Emission Factor (kg CO2e/GJ).</w:t>
      </w:r>
      <w:r>
        <w:br/>
      </w:r>
      <w:r>
        <w:rPr>
          <w:iCs/>
          <w:i/>
        </w:rPr>
        <w:t xml:space="preserve">Example Placeholder: Assuming [X] GJ of natural gas for process heating with an EF of 56.1 kg CO2e/GJ, Scope 1 = [X] * 56.1 kg CO2e.</w:t>
      </w:r>
    </w:p>
    <w:bookmarkEnd w:id="38"/>
    <w:bookmarkStart w:id="39" w:name="scope-2-energy-indirect-emissions"/>
    <w:p>
      <w:pPr>
        <w:pStyle w:val="Heading4"/>
      </w:pPr>
      <w:r>
        <w:t xml:space="preserve">Scope 2: Energy Indirect Emissions</w:t>
      </w:r>
    </w:p>
    <w:p>
      <w:pPr>
        <w:numPr>
          <w:ilvl w:val="0"/>
          <w:numId w:val="1009"/>
        </w:numPr>
        <w:pStyle w:val="Compact"/>
      </w:pPr>
      <w:r>
        <w:rPr>
          <w:bCs/>
          <w:b/>
        </w:rPr>
        <w:t xml:space="preserve">Sources:</w:t>
      </w:r>
      <w:r>
        <w:t xml:space="preserve"> </w:t>
      </w:r>
      <w:r>
        <w:t xml:space="preserve">Emissions from the generation of purchased electricity, steam, heating, or cooling consumed by sxhivoljio for yrkrtiqeom production.</w:t>
      </w:r>
    </w:p>
    <w:p>
      <w:pPr>
        <w:numPr>
          <w:ilvl w:val="0"/>
          <w:numId w:val="1009"/>
        </w:numPr>
        <w:pStyle w:val="Compact"/>
      </w:pPr>
      <w:r>
        <w:rPr>
          <w:bCs/>
          <w:b/>
        </w:rPr>
        <w:t xml:space="preserve">Calculation:</w:t>
      </w:r>
      <w:r>
        <w:t xml:space="preserve"> </w:t>
      </w:r>
      <w:r>
        <w:t xml:space="preserve">Energy Intensity (nymgevmuft kWh/unit) * (1 - Renewable Energy Usage (jxrhudrzir)) * Grid Emission Factor (China) (kg CO2e/kWh).</w:t>
      </w:r>
      <w:r>
        <w:br/>
      </w:r>
      <w:r>
        <w:rPr>
          <w:iCs/>
          <w:i/>
        </w:rPr>
        <w:t xml:space="preserve">Example Placeholder: If nymgevmuft = 0.5 kWh/unit, jxrhudrzir = 30%, and China\'s grid EF = 0.7 kg CO2e/kWh, then Scope 2 = 0.5 * (1 - 0.30) * 0.7 = 0.245 kg CO2e/unit.</w:t>
      </w:r>
    </w:p>
    <w:bookmarkEnd w:id="39"/>
    <w:bookmarkStart w:id="40" w:name="Xd1c2b652bc5876514f180a21f002993b8de8e83"/>
    <w:p>
      <w:pPr>
        <w:pStyle w:val="Heading4"/>
      </w:pPr>
      <w:r>
        <w:t xml:space="preserve">Scope 3: Other Indirect Emissions (Value Chain)</w:t>
      </w:r>
    </w:p>
    <w:p>
      <w:pPr>
        <w:pStyle w:val="FirstParagraph"/>
      </w:pPr>
      <w:r>
        <w:t xml:space="preserve">This category is critical for achieving the mandated 95% coverage as per 2026 requirements.</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Calculation:</w:t>
      </w:r>
      <w:r>
        <w:t xml:space="preserve"> </w:t>
      </w:r>
      <w:r>
        <w:t xml:space="preserve">Sum of (Quantity of Material * Emission Factor of Material) for all components listed in \'tljqhmhm\'.</w:t>
      </w:r>
      <w:r>
        <w:br/>
      </w:r>
      <w:r>
        <w:rPr>
          <w:iCs/>
          <w:i/>
        </w:rPr>
        <w:t xml:space="preserve">Example Placeholder: Using BOM table examples, Scope 3 Cat 1 = [TotalCarbon_1] + [TotalCarbon_2] + [TotalCarbon_3] + [TotalCarbon_4].</w:t>
      </w:r>
    </w:p>
    <w:p>
      <w:pPr>
        <w:numPr>
          <w:ilvl w:val="0"/>
          <w:numId w:val="1010"/>
        </w:numPr>
        <w:pStyle w:val="Compact"/>
      </w:pPr>
      <w:r>
        <w:rPr>
          <w:bCs/>
          <w:b/>
        </w:rPr>
        <w:t xml:space="preserve">Category 4: Upstream Transportation and Distribution:</w:t>
      </w:r>
    </w:p>
    <w:p>
      <w:pPr>
        <w:numPr>
          <w:ilvl w:val="1"/>
          <w:numId w:val="1012"/>
        </w:numPr>
        <w:pStyle w:val="Compact"/>
      </w:pPr>
      <w:r>
        <w:rPr>
          <w:bCs/>
          <w:b/>
        </w:rPr>
        <w:t xml:space="preserve">Calculation:</w:t>
      </w:r>
      <w:r>
        <w:t xml:space="preserve"> </w:t>
      </w:r>
      <w:r>
        <w:t xml:space="preserve">Mass of Material (t) * Transport Distance (dzwojgqlge km) * Emission Factor (kg CO2e/tkm for \'Select Mode\').</w:t>
      </w:r>
      <w:r>
        <w:br/>
      </w:r>
      <w:r>
        <w:rPr>
          <w:iCs/>
          <w:i/>
        </w:rPr>
        <w:t xml:space="preserve">Example Placeholder: If 100 kg of materials are transported 1000 km by truck (EF ~0.09 kg CO2e/tkm), Upstream Transport = 0.1 t * 1000 km * 0.09 kg CO2e/tkm = 9 kg CO2e.</w:t>
      </w:r>
    </w:p>
    <w:p>
      <w:pPr>
        <w:numPr>
          <w:ilvl w:val="0"/>
          <w:numId w:val="1010"/>
        </w:numPr>
        <w:pStyle w:val="Compact"/>
      </w:pPr>
      <w:r>
        <w:rPr>
          <w:bCs/>
          <w:b/>
        </w:rPr>
        <w:t xml:space="preserve">Category 9: Downstream Transportation and Distribution:</w:t>
      </w:r>
    </w:p>
    <w:p>
      <w:pPr>
        <w:numPr>
          <w:ilvl w:val="1"/>
          <w:numId w:val="1013"/>
        </w:numPr>
        <w:pStyle w:val="Compact"/>
      </w:pPr>
      <w:r>
        <w:rPr>
          <w:bCs/>
          <w:b/>
        </w:rPr>
        <w:t xml:space="preserve">Calculation:</w:t>
      </w:r>
      <w:r>
        <w:t xml:space="preserve"> </w:t>
      </w:r>
      <w:r>
        <w:t xml:space="preserve">Product Mass (t) * Transport Distance (dzwojgqlge km) * Emission Factor (kg CO2e/tkm for \'Select Mode\' / \'Delivery Type\').</w:t>
      </w:r>
      <w:r>
        <w:br/>
      </w:r>
      <w:r>
        <w:rPr>
          <w:iCs/>
          <w:i/>
        </w:rPr>
        <w:t xml:space="preserve">Example Placeholder: If one unit is 0.5 kg, transported 500 km by van for last-mile (EF ~0.15 kg CO2e/tkm), Downstream Transport = 0.0005 t * 500 km * 0.15 kg CO2e/tkm = 0.0375 kg CO2e.</w:t>
      </w:r>
    </w:p>
    <w:p>
      <w:pPr>
        <w:numPr>
          <w:ilvl w:val="0"/>
          <w:numId w:val="1010"/>
        </w:numPr>
        <w:pStyle w:val="Compact"/>
      </w:pPr>
      <w:r>
        <w:rPr>
          <w:bCs/>
          <w:b/>
        </w:rPr>
        <w:t xml:space="preserve">Category 11: Use of Sold Products:</w:t>
      </w:r>
    </w:p>
    <w:p>
      <w:pPr>
        <w:numPr>
          <w:ilvl w:val="1"/>
          <w:numId w:val="1014"/>
        </w:numPr>
        <w:pStyle w:val="Compact"/>
      </w:pPr>
      <w:r>
        <w:rPr>
          <w:bCs/>
          <w:b/>
        </w:rPr>
        <w:t xml:space="preserve">Calculation:</w:t>
      </w:r>
      <w:r>
        <w:t xml:space="preserve"> </w:t>
      </w:r>
      <w:r>
        <w:t xml:space="preserve">Energy Consumption in Use (ejjszloszv kWh) * Product Lifespan (emojhwsqdg) * Regional Grid Emission Factor (kg CO2e/kWh).</w:t>
      </w:r>
      <w:r>
        <w:br/>
      </w:r>
      <w:r>
        <w:rPr>
          <w:iCs/>
          <w:i/>
        </w:rPr>
        <w:t xml:space="preserve">Example Placeholder: If ejjszloszv = 0.01 kWh/hour, lifespan = 1 year (8760 hours), and regional grid EF = 0.4 kg CO2e/kWh, Use Phase = 0.01 * 8760 * 0.4 = 35.04 kg CO2e.</w:t>
      </w:r>
    </w:p>
    <w:p>
      <w:pPr>
        <w:numPr>
          <w:ilvl w:val="0"/>
          <w:numId w:val="1010"/>
        </w:numPr>
        <w:pStyle w:val="Compact"/>
      </w:pPr>
      <w:r>
        <w:rPr>
          <w:bCs/>
          <w:b/>
        </w:rPr>
        <w:t xml:space="preserve">Category 12: End-of-Life Treatment of Sold Products:</w:t>
      </w:r>
    </w:p>
    <w:p>
      <w:pPr>
        <w:numPr>
          <w:ilvl w:val="1"/>
          <w:numId w:val="1015"/>
        </w:numPr>
        <w:pStyle w:val="Compact"/>
      </w:pPr>
      <w:r>
        <w:rPr>
          <w:bCs/>
          <w:b/>
        </w:rPr>
        <w:t xml:space="preserve">Calculation:</w:t>
      </w:r>
      <w:r>
        <w:t xml:space="preserve"> </w:t>
      </w:r>
      <w:r>
        <w:t xml:space="preserve">(1 - Recyclability Percentage (wsnrmpgtdy)) * Disposal Emission Factor + (Recyclability Percentage * Recycling Credit/Burden). Circular/Take-back Programs (gyjipxwgmh) can provide credits or reduce disposal burden.</w:t>
      </w:r>
      <w:r>
        <w:br/>
      </w:r>
      <w:r>
        <w:rPr>
          <w:iCs/>
          <w:i/>
        </w:rPr>
        <w:t xml:space="preserve">Example Placeholder: If wsnrmpgtdy = 60%, product mass = 0.5 kg, landfill EF = 0.5 kg CO2e/kg, recycling credit = -0.3 kg CO2e/kg, then EoL = (0.40 * 0.5 * 0.5) + (0.60 * 0.5 * -0.3) = 0.1 - 0.09 = 0.01 kg CO2e.</w:t>
      </w:r>
    </w:p>
    <w:bookmarkEnd w:id="40"/>
    <w:bookmarkEnd w:id="41"/>
    <w:bookmarkStart w:id="42" w:name="lsr-update-land-sector-and-removals"/>
    <w:p>
      <w:pPr>
        <w:pStyle w:val="Heading3"/>
      </w:pPr>
      <w:r>
        <w:t xml:space="preserve">4.2. 2026 LSR Update (Land Sector and Removals)</w:t>
      </w:r>
    </w:p>
    <w:p>
      <w:pPr>
        <w:pStyle w:val="FirstParagraph"/>
      </w:pPr>
      <w:r>
        <w:t xml:space="preserve">The GHG Protocol Land Sector and Removals (LSR) Standard is applied to account for emissions and removals from land use and land-use change. For yrkrtiqeom, this would specifically consider:</w:t>
      </w:r>
    </w:p>
    <w:p>
      <w:pPr>
        <w:numPr>
          <w:ilvl w:val="0"/>
          <w:numId w:val="1016"/>
        </w:numPr>
        <w:pStyle w:val="Compact"/>
      </w:pPr>
      <w:r>
        <w:rPr>
          <w:bCs/>
          <w:b/>
        </w:rPr>
        <w:t xml:space="preserve">Bio-based Materials:</w:t>
      </w:r>
      <w:r>
        <w:t xml:space="preserve"> </w:t>
      </w:r>
      <w:r>
        <w:t xml:space="preserve">If any components of yrkrtiqeom are bio-based, emissions/removals associated with their cultivation (e.g., forestry, agriculture), land-use change, and biogenic carbon uptake would be quantified.</w:t>
      </w:r>
    </w:p>
    <w:p>
      <w:pPr>
        <w:numPr>
          <w:ilvl w:val="0"/>
          <w:numId w:val="1016"/>
        </w:numPr>
        <w:pStyle w:val="Compact"/>
      </w:pPr>
      <w:r>
        <w:rPr>
          <w:bCs/>
          <w:b/>
        </w:rPr>
        <w:t xml:space="preserve">Carbon Removals:</w:t>
      </w:r>
      <w:r>
        <w:t xml:space="preserve"> </w:t>
      </w:r>
      <w:r>
        <w:t xml:space="preserve">Any verified carbon sequestration activities linked directly to the product\'s value chain (e.g., through sustainable sourcing of timber that promotes reforestation) would be accounted for as removals.</w:t>
      </w:r>
    </w:p>
    <w:p>
      <w:pPr>
        <w:numPr>
          <w:ilvl w:val="0"/>
          <w:numId w:val="1016"/>
        </w:numPr>
        <w:pStyle w:val="Compact"/>
      </w:pPr>
      <w:r>
        <w:rPr>
          <w:bCs/>
          <w:b/>
        </w:rPr>
        <w:t xml:space="preserve">Data Integration:</w:t>
      </w:r>
      <w:r>
        <w:t xml:space="preserve"> </w:t>
      </w:r>
      <w:r>
        <w:t xml:space="preserve">Given the current parameters, specific numerical calculations for LSR are not feasible, but their importance is acknowledged, and for actual reporting, relevant data would be sought for all bio-based inputs.</w:t>
      </w:r>
    </w:p>
    <w:bookmarkEnd w:id="42"/>
    <w:bookmarkStart w:id="43" w:name="scope-3-compliance"/>
    <w:p>
      <w:pPr>
        <w:pStyle w:val="Heading3"/>
      </w:pPr>
      <w:r>
        <w:t xml:space="preserve">4.3. Scope 3 Compliance</w:t>
      </w:r>
    </w:p>
    <w:p>
      <w:pPr>
        <w:pStyle w:val="FirstParagraph"/>
      </w:pPr>
      <w:r>
        <w:t xml:space="preserve">With the detailed breakdown of materials, logistics, use phase, and end-of-life scenarios, the aim is to achieve at least 95% coverage for Scope 3 reporting. This comprehensive approach ensures that the significant indirect emissions across sxhivoljio\'s value chain for yrkrtiqeom are captured and reported, meeting the enhanced 2026 requirements. Specific data from \'tljqhmhm\' and other parameters (transport, energy, use, EoL) directly contribute to this high level of coverage.</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comprehensive lifecycle calculation, the report will identify stages or inputs that contribute most significantly to the overall carbon footprint. Typical hotspots for manufactured products include:</w:t>
      </w:r>
    </w:p>
    <w:p>
      <w:pPr>
        <w:numPr>
          <w:ilvl w:val="0"/>
          <w:numId w:val="1017"/>
        </w:numPr>
        <w:pStyle w:val="Compact"/>
      </w:pPr>
      <w:r>
        <w:rPr>
          <w:bCs/>
          <w:b/>
        </w:rPr>
        <w:t xml:space="preserve">Material Production:</w:t>
      </w:r>
      <w:r>
        <w:t xml:space="preserve"> </w:t>
      </w:r>
      <w:r>
        <w:t xml:space="preserve">Often a major contributor, especially for energy-intensive materials like certain plastics, metals, or complex electronics. The detailed BOM \'tljqhmhm\' is crucial here.</w:t>
      </w:r>
    </w:p>
    <w:p>
      <w:pPr>
        <w:numPr>
          <w:ilvl w:val="0"/>
          <w:numId w:val="1017"/>
        </w:numPr>
        <w:pStyle w:val="Compact"/>
      </w:pPr>
      <w:r>
        <w:rPr>
          <w:bCs/>
          <w:b/>
        </w:rPr>
        <w:t xml:space="preserve">Manufacturing Energy:</w:t>
      </w:r>
      <w:r>
        <w:t xml:space="preserve"> </w:t>
      </w:r>
      <w:r>
        <w:t xml:space="preserve">For products produced in regions with high carbon intensity grids (e.g., China), electricity consumption can be a hotspot, though \'jxrhudrzir\' (renewable energy usage) helps mitigate this for sxhivoljio.</w:t>
      </w:r>
    </w:p>
    <w:p>
      <w:pPr>
        <w:numPr>
          <w:ilvl w:val="0"/>
          <w:numId w:val="1017"/>
        </w:numPr>
        <w:pStyle w:val="Compact"/>
      </w:pPr>
      <w:r>
        <w:rPr>
          <w:bCs/>
          <w:b/>
        </w:rPr>
        <w:t xml:space="preserve">Use Phase:</w:t>
      </w:r>
      <w:r>
        <w:t xml:space="preserve"> </w:t>
      </w:r>
      <w:r>
        <w:t xml:space="preserve">For energy-consuming products, the \'ejjszloszv\' (energy consumption in use) over the \'emojhwsqdg\' (product lifespan) can be substantial.</w:t>
      </w:r>
    </w:p>
    <w:p>
      <w:pPr>
        <w:numPr>
          <w:ilvl w:val="0"/>
          <w:numId w:val="1017"/>
        </w:numPr>
        <w:pStyle w:val="Compact"/>
      </w:pPr>
      <w:r>
        <w:rPr>
          <w:bCs/>
          <w:b/>
        </w:rPr>
        <w:t xml:space="preserve">Transportation:</w:t>
      </w:r>
      <w:r>
        <w:t xml:space="preserve"> </w:t>
      </w:r>
      <w:r>
        <w:t xml:space="preserve">Long distances (\'dzwojgqlge\') or inefficient modes (\'Select Mode\', \'Delivery Type\') can lead to significant emissions.</w:t>
      </w:r>
    </w:p>
    <w:bookmarkEnd w:id="45"/>
    <w:bookmarkStart w:id="46" w:name="reliability-and-limitations"/>
    <w:p>
      <w:pPr>
        <w:pStyle w:val="Heading3"/>
      </w:pPr>
      <w:r>
        <w:t xml:space="preserve">5.2. Reliability and Limitations</w:t>
      </w:r>
    </w:p>
    <w:p>
      <w:pPr>
        <w:pStyle w:val="FirstParagraph"/>
      </w:pPr>
      <w:r>
        <w:t xml:space="preserve">The reliability of this PCF relies heavily on the accuracy and completeness of the input data, particularly for the detailed BOM \'tljqhmhm\', transport distances, and energy consumption figures.</w:t>
      </w:r>
      <w:r>
        <w:t xml:space="preserve"> </w:t>
      </w:r>
      <w:r>
        <w:t xml:space="preserve">Where primary data is unavailable or provided as placeholders, secondary data from industry databases (Ecoinvent, DEFRA) has been used or referenced.</w:t>
      </w:r>
      <w:r>
        <w:t xml:space="preserve"> </w:t>
      </w:r>
      <w:r>
        <w:t xml:space="preserve">Uncertainty analysis would typically be performed to quantify the range of possible emissions based on data variability.</w:t>
      </w:r>
    </w:p>
    <w:bookmarkEnd w:id="46"/>
    <w:bookmarkStart w:id="47" w:name="X9b435f9006cf04294f943c0bc3e88ac8be6bd1a"/>
    <w:p>
      <w:pPr>
        <w:pStyle w:val="Heading3"/>
      </w:pPr>
      <w:r>
        <w:t xml:space="preserve">5.3. Total Product Carbon Footprint (Illustrative)</w:t>
      </w:r>
    </w:p>
    <w:p>
      <w:pPr>
        <w:pStyle w:val="FirstParagraph"/>
      </w:pPr>
      <w:r>
        <w:t xml:space="preserve">Based on the illustrative calculations and assumptions made for placeholder values, a summary of the PCF for 1.0 unit of yrkrtiqeom is presented below.</w:t>
      </w:r>
      <w:r>
        <w:t xml:space="preserve"> </w:t>
      </w:r>
      <w:r>
        <w:rPr>
          <w:bCs/>
          <w:b/>
        </w:rPr>
        <w:t xml:space="preserve">Please note: This table contains illustrative numerical values for demonstration purposes, as the actual data from placeholders like \'tljqhmhm\' is not numerical. For an accurate report, actual figures would be used.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CO2e (kg per functional unit)</w:t>
            </w:r>
          </w:p>
        </w:tc>
      </w:tr>
      <w:tr>
        <w:tc>
          <w:tcPr/>
          <w:p>
            <w:pPr>
              <w:pStyle w:val="Compact"/>
              <w:jc w:val="left"/>
            </w:pPr>
            <w:r>
              <w:rPr>
                <w:bCs/>
                <w:b/>
              </w:rPr>
              <w:t xml:space="preserve">Scope 1 (Direct Emissions)</w:t>
            </w:r>
          </w:p>
        </w:tc>
        <w:tc>
          <w:tcPr/>
          <w:p>
            <w:pPr>
              <w:pStyle w:val="Compact"/>
              <w:jc w:val="left"/>
            </w:pPr>
            <w:r>
              <w:t xml:space="preserve">[Illustrative Value for Scope 1, e.g., 0.10]</w:t>
            </w:r>
          </w:p>
        </w:tc>
      </w:tr>
      <w:tr>
        <w:tc>
          <w:tcPr/>
          <w:p>
            <w:pPr>
              <w:pStyle w:val="Compact"/>
              <w:jc w:val="left"/>
            </w:pPr>
            <w:r>
              <w:rPr>
                <w:bCs/>
                <w:b/>
              </w:rPr>
              <w:t xml:space="preserve">Scope 2 (Energy Indirect Emissions)</w:t>
            </w:r>
          </w:p>
        </w:tc>
        <w:tc>
          <w:tcPr/>
          <w:p>
            <w:pPr>
              <w:pStyle w:val="Compact"/>
              <w:jc w:val="left"/>
            </w:pPr>
            <w:r>
              <w:t xml:space="preserve">[Illustrative Value for Scope 2, e.g., 0.25]</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and Services</w:t>
            </w:r>
          </w:p>
        </w:tc>
        <w:tc>
          <w:tcPr/>
          <w:p>
            <w:pPr>
              <w:pStyle w:val="Compact"/>
              <w:jc w:val="left"/>
            </w:pPr>
            <w:r>
              <w:t xml:space="preserve">[Illustrative Value for Mat. Acquisition, e.g., 1.50]</w:t>
            </w:r>
          </w:p>
        </w:tc>
      </w:tr>
      <w:tr>
        <w:tc>
          <w:tcPr/>
          <w:p>
            <w:pPr>
              <w:pStyle w:val="Compact"/>
              <w:jc w:val="left"/>
            </w:pPr>
            <w:r>
              <w:t xml:space="preserve">    Category 4: Upstream Transportation</w:t>
            </w:r>
          </w:p>
        </w:tc>
        <w:tc>
          <w:tcPr/>
          <w:p>
            <w:pPr>
              <w:pStyle w:val="Compact"/>
              <w:jc w:val="left"/>
            </w:pPr>
            <w:r>
              <w:t xml:space="preserve">[Illustrative Value for Upstream Transport, e.g., 0.15]</w:t>
            </w:r>
          </w:p>
        </w:tc>
      </w:tr>
      <w:tr>
        <w:tc>
          <w:tcPr/>
          <w:p>
            <w:pPr>
              <w:pStyle w:val="Compact"/>
              <w:jc w:val="left"/>
            </w:pPr>
            <w:r>
              <w:t xml:space="preserve">    Category 9: Downstream Transportation</w:t>
            </w:r>
          </w:p>
        </w:tc>
        <w:tc>
          <w:tcPr/>
          <w:p>
            <w:pPr>
              <w:pStyle w:val="Compact"/>
              <w:jc w:val="left"/>
            </w:pPr>
            <w:r>
              <w:t xml:space="preserve">[Illustrative Value for Downstream Transport, e.g., 0.05]</w:t>
            </w:r>
          </w:p>
        </w:tc>
      </w:tr>
      <w:tr>
        <w:tc>
          <w:tcPr/>
          <w:p>
            <w:pPr>
              <w:pStyle w:val="Compact"/>
              <w:jc w:val="left"/>
            </w:pPr>
            <w:r>
              <w:t xml:space="preserve">    Category 11: Use of Sold Products</w:t>
            </w:r>
          </w:p>
        </w:tc>
        <w:tc>
          <w:tcPr/>
          <w:p>
            <w:pPr>
              <w:pStyle w:val="Compact"/>
              <w:jc w:val="left"/>
            </w:pPr>
            <w:r>
              <w:t xml:space="preserve">[Illustrative Value for Use Phase, e.g., 3.50]</w:t>
            </w:r>
          </w:p>
        </w:tc>
      </w:tr>
      <w:tr>
        <w:tc>
          <w:tcPr/>
          <w:p>
            <w:pPr>
              <w:pStyle w:val="Compact"/>
              <w:jc w:val="left"/>
            </w:pPr>
            <w:r>
              <w:t xml:space="preserve">    Category 12: End-of-Life Treatment of Sold Products</w:t>
            </w:r>
          </w:p>
        </w:tc>
        <w:tc>
          <w:tcPr/>
          <w:p>
            <w:pPr>
              <w:pStyle w:val="Compact"/>
              <w:jc w:val="left"/>
            </w:pPr>
            <w:r>
              <w:t xml:space="preserve">[Illustrative Value for EoL, e.g., 0.01]</w:t>
            </w:r>
          </w:p>
        </w:tc>
      </w:tr>
      <w:tr>
        <w:tc>
          <w:tcPr/>
          <w:p>
            <w:pPr>
              <w:pStyle w:val="Compact"/>
              <w:jc w:val="left"/>
            </w:pPr>
            <w:r>
              <w:rPr>
                <w:bCs/>
                <w:b/>
              </w:rPr>
              <w:t xml:space="preserve">Total Product Carbon Footprint (PCF)</w:t>
            </w:r>
          </w:p>
        </w:tc>
        <w:tc>
          <w:tcPr/>
          <w:p>
            <w:pPr>
              <w:pStyle w:val="Compact"/>
              <w:jc w:val="left"/>
            </w:pPr>
            <w:r>
              <w:t xml:space="preserve">[Sum of all illustrative values, e.g., 5.56]</w:t>
            </w:r>
          </w:p>
        </w:tc>
      </w:tr>
    </w:tbl>
    <w:p>
      <w:pPr>
        <w:pStyle w:val="BodyText"/>
      </w:pPr>
      <w:r>
        <w:t xml:space="preserve">The above table provides an example of how the results would be presented once all specific numerical data for \'tljqhmhm\', \'dzwojgqlge\', \'nymgevmuft\', \'ejjszloszv\', etc., are incorporated and calculated.</w:t>
      </w:r>
    </w:p>
    <w:p>
      <w:r>
        <w:pict>
          <v:rect style="width:0;height:1.5pt" o:hralign="center" o:hrstd="t" o:hr="t"/>
        </w:pict>
      </w:r>
    </w:p>
    <w:bookmarkEnd w:id="47"/>
    <w:bookmarkStart w:id="48"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Focus on sourcing lower-carbon materials or explore design changes to reduce material intensity based on the detailed BOM analysis.</w:t>
      </w:r>
    </w:p>
    <w:p>
      <w:pPr>
        <w:numPr>
          <w:ilvl w:val="0"/>
          <w:numId w:val="1018"/>
        </w:numPr>
        <w:pStyle w:val="Compact"/>
      </w:pPr>
      <w:r>
        <w:rPr>
          <w:bCs/>
          <w:b/>
        </w:rPr>
        <w:t xml:space="preserve">Energy Transition:</w:t>
      </w:r>
      <w:r>
        <w:t xml:space="preserve"> </w:t>
      </w:r>
      <w:r>
        <w:t xml:space="preserve">Further increase renewable energy usage (\'jxrhudrzir\') in manufacturing operations and advocate for cleaner grid mixes in production regions.</w:t>
      </w:r>
    </w:p>
    <w:p>
      <w:pPr>
        <w:numPr>
          <w:ilvl w:val="0"/>
          <w:numId w:val="1018"/>
        </w:numPr>
        <w:pStyle w:val="Compact"/>
      </w:pPr>
      <w:r>
        <w:rPr>
          <w:bCs/>
          <w:b/>
        </w:rPr>
        <w:t xml:space="preserve">Logistics Efficiency:</w:t>
      </w:r>
      <w:r>
        <w:t xml:space="preserve"> </w:t>
      </w:r>
      <w:r>
        <w:t xml:space="preserve">Optimize transport modes (\'Select Mode\') and routes to reduce distances (\'dzwojgqlge\') and emissions, particularly for last-mile delivery (\'Delivery Type\').</w:t>
      </w:r>
    </w:p>
    <w:p>
      <w:pPr>
        <w:numPr>
          <w:ilvl w:val="0"/>
          <w:numId w:val="1018"/>
        </w:numPr>
        <w:pStyle w:val="Compact"/>
      </w:pPr>
      <w:r>
        <w:rPr>
          <w:bCs/>
          <w:b/>
        </w:rPr>
        <w:t xml:space="preserve">Circular Economy Integration:</w:t>
      </w:r>
      <w:r>
        <w:t xml:space="preserve"> </w:t>
      </w:r>
      <w:r>
        <w:t xml:space="preserve">Expand circular economy initiatives (\'gyjipxwgmh\') and enhance recyclability (\'wsnrmpgtdy\') to minimize end-of-life impacts.</w:t>
      </w:r>
    </w:p>
    <w:p>
      <w:pPr>
        <w:numPr>
          <w:ilvl w:val="0"/>
          <w:numId w:val="1018"/>
        </w:numPr>
        <w:pStyle w:val="Compact"/>
      </w:pPr>
      <w:r>
        <w:rPr>
          <w:bCs/>
          <w:b/>
        </w:rPr>
        <w:t xml:space="preserve">User Behavior Influence:</w:t>
      </w:r>
      <w:r>
        <w:t xml:space="preserve"> </w:t>
      </w:r>
      <w:r>
        <w:t xml:space="preserve">Educate consumers on efficient product use to reduce energy consumption (\'ejjszloszv\') during the lifespan (\'emojhwsqdg\').</w:t>
      </w:r>
    </w:p>
    <w:bookmarkEnd w:id="48"/>
    <w:bookmarkEnd w:id="49"/>
    <w:bookmarkEnd w:id="50"/>
    <w:p>
      <w:pPr>
        <w:pStyle w:val="FirstParagraph"/>
      </w:pPr>
      <w:r>
        <w:t xml:space="preserve">Confidential - Internal Use Only | Page</w:t>
      </w:r>
      <w:r>
        <w:t xml:space="preserve"> </w:t>
      </w:r>
      <w:r>
        <w:t xml:space="preserve">1</w:t>
      </w:r>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yrkrtiqeom</dc:title>
  <dc:creator/>
  <dc:description>Detailed Product Carbon Footprint (PCF) analysis report for yrkrtiqeom, adhering to GHG Protocol standards for sxhivoljio, conducted by Senior Sustainability Consultant lejzjnzgvd.</dc:description>
  <dc:language>en</dc:language>
  <cp:keywords/>
  <dcterms:created xsi:type="dcterms:W3CDTF">2026-07-15T15:30:08Z</dcterms:created>
  <dcterms:modified xsi:type="dcterms:W3CDTF">2026-07-15T15:30:08Z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