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yrgtyeuwwx</w:t>
      </w:r>
      <w:r>
        <w:t xml:space="preserve"> </w:t>
      </w:r>
      <w:r>
        <w:t xml:space="preserve">-</w:t>
      </w:r>
      <w:r>
        <w:t xml:space="preserve"> </w:t>
      </w:r>
      <w:r>
        <w:t xml:space="preserve">hyjdiqoynh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yrgtyeuwwx</w:t>
      </w:r>
    </w:p>
    <w:p>
      <w:pPr>
        <w:pStyle w:val="BodyText"/>
      </w:pPr>
      <w:r>
        <w:rPr>
          <w:bCs/>
          <w:b/>
        </w:rPr>
        <w:t xml:space="preserve">Company:</w:t>
      </w:r>
      <w:r>
        <w:t xml:space="preserve"> </w:t>
      </w:r>
      <w:r>
        <w:t xml:space="preserve">hyjdiqoynh</w:t>
      </w:r>
    </w:p>
    <w:p>
      <w:pPr>
        <w:pStyle w:val="BodyText"/>
      </w:pPr>
      <w:r>
        <w:rPr>
          <w:bCs/>
          <w:b/>
        </w:rPr>
        <w:t xml:space="preserve">Senior Sustainability Consultant:</w:t>
      </w:r>
      <w:r>
        <w:t xml:space="preserve"> </w:t>
      </w:r>
      <w:r>
        <w:t xml:space="preserve">iyudqolngq</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and adherence to the specified methodologies, the results are indicative and subject to the quality and completeness of the input parameters.</w:t>
      </w:r>
    </w:p>
    <w:bookmarkEnd w:id="20"/>
    <w:bookmarkStart w:id="40" w:name="X717cfa0031f4b98cb20e7d2634bd2d3378fab67"/>
    <w:p>
      <w:pPr>
        <w:pStyle w:val="Heading1"/>
      </w:pPr>
      <w:r>
        <w:t xml:space="preserve">Product Carbon Footprint Analysis for yrgtyeuwwx</w:t>
      </w:r>
    </w:p>
    <w:p>
      <w:pPr>
        <w:pStyle w:val="FirstParagraph"/>
      </w:pPr>
      <w:r>
        <w:rPr>
          <w:bCs/>
          <w:b/>
        </w:rPr>
        <w:t xml:space="preserve">Generated Date:</w:t>
      </w:r>
      <w:r>
        <w:t xml:space="preserve"> </w:t>
      </w:r>
      <w:r>
        <w:t xml:space="preserve">May 18,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yrgtyeuwwx, manufactured by hyjdiqoynh. The analysis was conducted by iyudqolngq, a Senior Sustainability Consultant specializing in GHG Protocol, with a system boundary set at \'factory_gate\'. The assessment adheres strictly to the GHG Protocol standards, including the 2026 update for the Land Sector and Removals (LSR) Standard and aims for over 95% coverage for Scope 3 emissions. Key lifecycle stages, from material acquisition to end-of-life, have been evaluated using detailed Bill of Materials (BOM), logistics, production energy, and end-of-life data. The findings highlight emission hotspots and provide a foundational understanding for hyjdiqoynh to develop targeted decarbonization strategies.</w:t>
      </w:r>
    </w:p>
    <w:p>
      <w:r>
        <w:pict>
          <v:rect style="width:0;height:1.5pt" o:hralign="center" o:hrstd="t" o:hr="t"/>
        </w:pict>
      </w:r>
    </w:p>
    <w:bookmarkEnd w:id="21"/>
    <w:bookmarkStart w:id="22" w:name="methodology"/>
    <w:p>
      <w:pPr>
        <w:pStyle w:val="Heading2"/>
      </w:pPr>
      <w:r>
        <w:t xml:space="preserve">Methodology</w:t>
      </w:r>
    </w:p>
    <w:p>
      <w:pPr>
        <w:pStyle w:val="FirstParagraph"/>
      </w:pPr>
      <w:r>
        <w:t xml:space="preserve">The Product Carbon Footprint (PCF) analysis for yrgtyeuwwx follows the five-step approach mandated by the GHG Protocol, ensuring a comprehensive and standardized assessment of greenhouse gas (GHG) emissions across the product\'s lifecycle. This methodology categorizes emissions into Scope 1 (direct), Scope 2 (purchased energy), and Scope 3 (value chain) to provide a holistic view of environmental impact.</w:t>
      </w:r>
    </w:p>
    <w:p>
      <w:pPr>
        <w:numPr>
          <w:ilvl w:val="0"/>
          <w:numId w:val="1001"/>
        </w:numPr>
        <w:pStyle w:val="Compact"/>
      </w:pPr>
      <w:r>
        <w:rPr>
          <w:bCs/>
          <w:b/>
        </w:rPr>
        <w:t xml:space="preserve">1. Define Scope:</w:t>
      </w:r>
      <w:r>
        <w:t xml:space="preserve"> </w:t>
      </w:r>
      <w:r>
        <w:t xml:space="preserve">This initial step establishes the fundamental parameters of the study, including the functional unit, system boundaries, geographic scope, and allocation rules. For a PCF, the functional unit is typically a single product, and boundaries are defined to capture relevant lifecycle stages.</w:t>
      </w:r>
    </w:p>
    <w:p>
      <w:pPr>
        <w:numPr>
          <w:ilvl w:val="0"/>
          <w:numId w:val="1001"/>
        </w:numPr>
        <w:pStyle w:val="Compact"/>
      </w:pPr>
      <w:r>
        <w:rPr>
          <w:bCs/>
          <w:b/>
        </w:rPr>
        <w:t xml:space="preserve">2. Map Lifecycle (LCI Inventory Stages):</w:t>
      </w:r>
      <w:r>
        <w:t xml:space="preserve"> </w:t>
      </w:r>
      <w:r>
        <w:t xml:space="preserve">This involves identifying all relevant processes and stages throughout the product\'s life, from raw material extraction to manufacturing, distribution, use, and end-of-life. Each stage where inputs and outputs (including emissions) occur is mapped.</w:t>
      </w:r>
    </w:p>
    <w:p>
      <w:pPr>
        <w:numPr>
          <w:ilvl w:val="0"/>
          <w:numId w:val="1001"/>
        </w:numPr>
        <w:pStyle w:val="Compact"/>
      </w:pPr>
      <w:r>
        <w:rPr>
          <w:bCs/>
          <w:b/>
        </w:rPr>
        <w:t xml:space="preserve">3. Collect Data (Primary/Secondary Data Points):</w:t>
      </w:r>
      <w:r>
        <w:t xml:space="preserve"> </w:t>
      </w:r>
      <w:r>
        <w:t xml:space="preserve">Data collection is crucial for accuracy. Primary data is gathered directly from hyjdiqoynh\'s operations (e.g., energy consumption, waste generation), while secondary data (e.g., industry-average emission factors for materials and transport) is sourced from reputable databases such as Ecoinvent and DEFRA.</w:t>
      </w:r>
    </w:p>
    <w:p>
      <w:pPr>
        <w:numPr>
          <w:ilvl w:val="0"/>
          <w:numId w:val="1001"/>
        </w:numPr>
        <w:pStyle w:val="Compact"/>
      </w:pPr>
      <w:r>
        <w:rPr>
          <w:bCs/>
          <w:b/>
        </w:rPr>
        <w:t xml:space="preserve">4. Calculate Emissions (Activity * Emission Factor = CO2e):</w:t>
      </w:r>
      <w:r>
        <w:t xml:space="preserve"> </w:t>
      </w:r>
      <w:r>
        <w:t xml:space="preserve">Emissions are quantified by multiplying activity data (e.g., kg of material, kWh of electricity, km traveled) by corresponding emission factors (e.g., kg CO2e/kg material, kg CO2e/kWh, kg CO2e/tkm). All greenhouse gases are converted to carbon dioxide equivalents (CO2e).</w:t>
      </w:r>
    </w:p>
    <w:p>
      <w:pPr>
        <w:numPr>
          <w:ilvl w:val="0"/>
          <w:numId w:val="1001"/>
        </w:numPr>
        <w:pStyle w:val="Compact"/>
      </w:pPr>
      <w:r>
        <w:rPr>
          <w:bCs/>
          <w:b/>
        </w:rPr>
        <w:t xml:space="preserve">5. Review &amp; Report (Hotspots and Reliability):</w:t>
      </w:r>
      <w:r>
        <w:t xml:space="preserve"> </w:t>
      </w:r>
      <w:r>
        <w:t xml:space="preserve">The final step involves analyzing the calculated emissions to identify hotspots (stages or components with the highest impact), assessing the reliability of the data, and compiling a comprehensive report with findings and recommendations.</w:t>
      </w:r>
    </w:p>
    <w:p>
      <w:pPr>
        <w:pStyle w:val="FirstParagraph"/>
      </w:pPr>
      <w:r>
        <w:rPr>
          <w:bCs/>
          <w:b/>
        </w:rPr>
        <w:t xml:space="preserve">GHG Protocol Adherence:</w:t>
      </w:r>
      <w:r>
        <w:t xml:space="preserve"> </w:t>
      </w:r>
      <w:r>
        <w:t xml:space="preserve">This analysis strictly adheres to the GHG Protocol\'s classification of emissions into Scope 1, Scope 2, and Scope 3, ensuring transparent and consistent reporting. The study\'s focus on a \'factory_gate\' system boundary means direct operational emissions (Scope 1 and 2) are confined to the manufacturing facility, while the vast majority of impacts (materials, transport, use, EoL) fall under Scope 3.</w:t>
      </w:r>
    </w:p>
    <w:p>
      <w:pPr>
        <w:pStyle w:val="BodyText"/>
      </w:pPr>
      <w:r>
        <w:rPr>
          <w:bCs/>
          <w:b/>
        </w:rPr>
        <w:t xml:space="preserve">2026 LSR Update:</w:t>
      </w:r>
      <w:r>
        <w:t xml:space="preserve"> </w:t>
      </w:r>
      <w:r>
        <w:t xml:space="preserve">The Land Sector and Removals (LSR) Standard, effective January 1, 2027, is applied in this analysis as per 2026 requirements. This standard provides accounting requirements and guidance for quantifying, reporting, and tracking land emissions, CO2 removals, and biogenic products. While specific guidance is still being developed, the principles are integrated to account for any relevant land-use impacts or removals throughout the value chain of yrgtyeuwwx.</w:t>
      </w:r>
    </w:p>
    <w:p>
      <w:pPr>
        <w:pStyle w:val="BodyText"/>
      </w:pPr>
      <w:r>
        <w:rPr>
          <w:bCs/>
          <w:b/>
        </w:rPr>
        <w:t xml:space="preserve">Scope 3 Compliance:</w:t>
      </w:r>
      <w:r>
        <w:t xml:space="preserve"> </w:t>
      </w:r>
      <w:r>
        <w:t xml:space="preserve">In line with 2026 requirements, this report ensures at least 95% coverage for Scope 3 reporting, reflecting the comprehensive nature of value chain emissions for product-level assessments.</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The foundational parameters for the PCF analysis of yrgtyeuwwx are defined as follows:</w:t>
      </w:r>
    </w:p>
    <w:p>
      <w:pPr>
        <w:numPr>
          <w:ilvl w:val="0"/>
          <w:numId w:val="1002"/>
        </w:numPr>
        <w:pStyle w:val="Compact"/>
      </w:pPr>
      <w:r>
        <w:rPr>
          <w:bCs/>
          <w:b/>
        </w:rPr>
        <w:t xml:space="preserve">Functional Unit:</w:t>
      </w:r>
      <w:r>
        <w:t xml:space="preserve"> </w:t>
      </w:r>
      <w:r>
        <w:t xml:space="preserve">1.0 unit of yrgtyeuwwx. This represents the reference unit to which all inputs and outputs are normalized.</w:t>
      </w:r>
    </w:p>
    <w:p>
      <w:pPr>
        <w:numPr>
          <w:ilvl w:val="0"/>
          <w:numId w:val="1002"/>
        </w:numPr>
        <w:pStyle w:val="Compact"/>
      </w:pPr>
      <w:r>
        <w:rPr>
          <w:bCs/>
          <w:b/>
        </w:rPr>
        <w:t xml:space="preserve">System Boundary:</w:t>
      </w:r>
      <w:r>
        <w:t xml:space="preserve"> </w:t>
      </w:r>
      <w:r>
        <w:t xml:space="preserve">factory_gate. This boundary includes all upstream processes (raw material extraction, material processing, and transportation to the manufacturing facility) and the manufacturing processes at hyjdiqoynh\'s facility up to the point the finished product leaves the factory gate. Downstream impacts (further transport, use phase, end-of-life) are also included in the full PCF for product-level assessment.</w:t>
      </w:r>
    </w:p>
    <w:p>
      <w:pPr>
        <w:numPr>
          <w:ilvl w:val="0"/>
          <w:numId w:val="1002"/>
        </w:numPr>
        <w:pStyle w:val="Compact"/>
      </w:pPr>
      <w:r>
        <w:rPr>
          <w:bCs/>
          <w:b/>
        </w:rPr>
        <w:t xml:space="preserve">Geographic Scope:</w:t>
      </w:r>
      <w:r>
        <w:t xml:space="preserve"> </w:t>
      </w:r>
      <w:r>
        <w:t xml:space="preserve">Final Production Country: China, Supply Chain Focus: Europe Focused. This indicates that while the final assembly occurs in China, a significant portion of the upstream supply chain for materials and components, as well as downstream distribution, is focused on Europe.</w:t>
      </w:r>
    </w:p>
    <w:p>
      <w:pPr>
        <w:numPr>
          <w:ilvl w:val="0"/>
          <w:numId w:val="1002"/>
        </w:numPr>
        <w:pStyle w:val="Compact"/>
      </w:pPr>
      <w:r>
        <w:rPr>
          <w:bCs/>
          <w:b/>
        </w:rPr>
        <w:t xml:space="preserve">Accounting Standard:</w:t>
      </w:r>
      <w:r>
        <w:t xml:space="preserve"> </w:t>
      </w:r>
      <w:r>
        <w:t xml:space="preserve">GHG Protocol (Product Standard and Corporate Standard, with specific reference to Scope 3 Accounting and Reporting Standard).</w:t>
      </w:r>
    </w:p>
    <w:p>
      <w:pPr>
        <w:numPr>
          <w:ilvl w:val="0"/>
          <w:numId w:val="1002"/>
        </w:numPr>
        <w:pStyle w:val="Compact"/>
      </w:pPr>
      <w:r>
        <w:rPr>
          <w:bCs/>
          <w:b/>
        </w:rPr>
        <w:t xml:space="preserve">Allocation:</w:t>
      </w:r>
      <w:r>
        <w:t xml:space="preserve"> </w:t>
      </w:r>
      <w:r>
        <w:t xml:space="preserve">Emissions are directly allocated to the functional unit (1.0 unit of yrgtyeuwwx) based on mass, energy consumption, and direct attribution where possible. For co-products or shared processes, standard allocation methodologies are applied.</w:t>
      </w:r>
    </w:p>
    <w:p>
      <w:r>
        <w:pict>
          <v:rect style="width:0;height:1.5pt" o:hralign="center" o:hrstd="t" o:hr="t"/>
        </w:pict>
      </w:r>
    </w:p>
    <w:bookmarkEnd w:id="23"/>
    <w:bookmarkStart w:id="24" w:name="X9b90fa08e67ef6ca5dfe204b6be6297359bdf82"/>
    <w:p>
      <w:pPr>
        <w:pStyle w:val="Heading2"/>
      </w:pPr>
      <w:r>
        <w:t xml:space="preserve">2. Lifecycle Mapping &amp; Data Collection Overview</w:t>
      </w:r>
    </w:p>
    <w:p>
      <w:pPr>
        <w:pStyle w:val="FirstParagraph"/>
      </w:pPr>
      <w:r>
        <w:t xml:space="preserve">The lifecycle of yrgtyeuwwx has been mapped to identify all stages contributing to its carbon footprint. This systematic mapping ensures that all significant emission sources are considered:</w:t>
      </w:r>
    </w:p>
    <w:p>
      <w:pPr>
        <w:numPr>
          <w:ilvl w:val="0"/>
          <w:numId w:val="1003"/>
        </w:numPr>
        <w:pStyle w:val="Compact"/>
      </w:pPr>
      <w:r>
        <w:rPr>
          <w:bCs/>
          <w:b/>
        </w:rPr>
        <w:t xml:space="preserve">Materials Acquisition &amp; Pre-processing:</w:t>
      </w:r>
      <w:r>
        <w:t xml:space="preserve"> </w:t>
      </w:r>
      <w:r>
        <w:t xml:space="preserve">Extraction, processing, and manufacturing of all raw materials and components (from zpkfpfuv) until they are ready for transport to the final production facility.</w:t>
      </w:r>
    </w:p>
    <w:p>
      <w:pPr>
        <w:numPr>
          <w:ilvl w:val="0"/>
          <w:numId w:val="1003"/>
        </w:numPr>
        <w:pStyle w:val="Compact"/>
      </w:pPr>
      <w:r>
        <w:rPr>
          <w:bCs/>
          <w:b/>
        </w:rPr>
        <w:t xml:space="preserve">Manufacturing:</w:t>
      </w:r>
      <w:r>
        <w:t xml:space="preserve"> </w:t>
      </w:r>
      <w:r>
        <w:t xml:space="preserve">All processes at hyjdiqoynh\'s factory in China, including energy consumption, process emissions, and waste generation during assembly and finishing.</w:t>
      </w:r>
    </w:p>
    <w:p>
      <w:pPr>
        <w:numPr>
          <w:ilvl w:val="0"/>
          <w:numId w:val="1003"/>
        </w:numPr>
        <w:pStyle w:val="Compact"/>
      </w:pPr>
      <w:r>
        <w:rPr>
          <w:bCs/>
          <w:b/>
        </w:rPr>
        <w:t xml:space="preserve">Transportation:</w:t>
      </w:r>
      <w:r>
        <w:t xml:space="preserve"> </w:t>
      </w:r>
      <w:r>
        <w:t xml:space="preserve">Both upstream logistics (delivery of materials/components to the factory) and downstream logistics (delivery of the finished product to the customer).</w:t>
      </w:r>
    </w:p>
    <w:p>
      <w:pPr>
        <w:numPr>
          <w:ilvl w:val="0"/>
          <w:numId w:val="1003"/>
        </w:numPr>
        <w:pStyle w:val="Compact"/>
      </w:pPr>
      <w:r>
        <w:rPr>
          <w:bCs/>
          <w:b/>
        </w:rPr>
        <w:t xml:space="preserve">Use Phase:</w:t>
      </w:r>
      <w:r>
        <w:t xml:space="preserve"> </w:t>
      </w:r>
      <w:r>
        <w:t xml:space="preserve">Energy consumption, maintenance, and other activities associated with the product\'s use by the end-consumer over its lifespan.</w:t>
      </w:r>
    </w:p>
    <w:p>
      <w:pPr>
        <w:numPr>
          <w:ilvl w:val="0"/>
          <w:numId w:val="1003"/>
        </w:numPr>
        <w:pStyle w:val="Compact"/>
      </w:pPr>
      <w:r>
        <w:rPr>
          <w:bCs/>
          <w:b/>
        </w:rPr>
        <w:t xml:space="preserve">End-of-Life (EoL):</w:t>
      </w:r>
      <w:r>
        <w:t xml:space="preserve"> </w:t>
      </w:r>
      <w:r>
        <w:t xml:space="preserve">Collection, recycling, disposal, or recovery processes for the product and its packaging at the end of its functional life.</w:t>
      </w:r>
    </w:p>
    <w:p>
      <w:r>
        <w:pict>
          <v:rect style="width:0;height:1.5pt" o:hralign="center" o:hrstd="t" o:hr="t"/>
        </w:pict>
      </w:r>
    </w:p>
    <w:bookmarkEnd w:id="24"/>
    <w:bookmarkStart w:id="29" w:name="Xede0cbf64243635febf89e55c371f2d65de8c77"/>
    <w:p>
      <w:pPr>
        <w:pStyle w:val="Heading2"/>
      </w:pPr>
      <w:r>
        <w:t xml:space="preserve">3. Data Collection and Emission Factor Application</w:t>
      </w:r>
    </w:p>
    <w:p>
      <w:pPr>
        <w:pStyle w:val="FirstParagraph"/>
      </w:pPr>
      <w:r>
        <w:t xml:space="preserve">Data for this PCF analysis has been collected from various sources, prioritizing primary data from hyjdiqoynh where available, and supplementing with high-quality secondary data and industry-standard emission factors from databases like Ecoinvent and DEFRA.</w:t>
      </w:r>
    </w:p>
    <w:bookmarkStart w:id="25" w:name="X3c7b05127aa84f980d63f000cf05d7bac3d5f3d"/>
    <w:p>
      <w:pPr>
        <w:pStyle w:val="Heading3"/>
      </w:pPr>
      <w:r>
        <w:t xml:space="preserve">Detailed Bill of Materials (BOM) for yrgtyeuwwx (Illustrative based on zpkfpfuv)</w:t>
      </w:r>
    </w:p>
    <w:p>
      <w:pPr>
        <w:pStyle w:val="FirstParagraph"/>
      </w:pPr>
      <w:r>
        <w:t xml:space="preserve">The following table presents a detailed breakdown of the materials used in yrgtyeuwwx, incorporating the provided `zpkfpfuv` parameter format with illustrative values for material impact calculation. Note that \'Total Carbon\' is calculated as Qty * Emission Factor.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Copper Wire (Internal)</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4.00</w:t>
            </w:r>
          </w:p>
        </w:tc>
        <w:tc>
          <w:tcPr/>
          <w:p>
            <w:pPr>
              <w:pStyle w:val="Compact"/>
              <w:jc w:val="left"/>
            </w:pPr>
            <w:r>
              <w:t xml:space="preserve">0.40</w:t>
            </w:r>
          </w:p>
        </w:tc>
      </w:tr>
      <w:tr>
        <w:tc>
          <w:tcPr/>
          <w:p>
            <w:pPr>
              <w:pStyle w:val="Compact"/>
              <w:jc w:val="left"/>
            </w:pPr>
            <w:r>
              <w:t xml:space="preserve">M003</w:t>
            </w:r>
          </w:p>
        </w:tc>
        <w:tc>
          <w:tcPr/>
          <w:p>
            <w:pPr>
              <w:pStyle w:val="Compact"/>
              <w:jc w:val="left"/>
            </w:pPr>
            <w:r>
              <w:t xml:space="preserve">Electronic Components (PCB, Chips)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15.00</w:t>
            </w:r>
          </w:p>
        </w:tc>
        <w:tc>
          <w:tcPr/>
          <w:p>
            <w:pPr>
              <w:pStyle w:val="Compact"/>
              <w:jc w:val="left"/>
            </w:pPr>
            <w:r>
              <w:t xml:space="preserve">0.75</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Batteries</w:t>
            </w:r>
          </w:p>
        </w:tc>
        <w:tc>
          <w:tcPr/>
          <w:p>
            <w:pPr>
              <w:pStyle w:val="Compact"/>
              <w:jc w:val="left"/>
            </w:pPr>
            <w:r>
              <w:t xml:space="preserve">Battery Production</w:t>
            </w:r>
          </w:p>
        </w:tc>
        <w:tc>
          <w:tcPr/>
          <w:p>
            <w:pPr>
              <w:pStyle w:val="Compact"/>
              <w:jc w:val="left"/>
            </w:pPr>
            <w:r>
              <w:t xml:space="preserve">0.08</w:t>
            </w:r>
          </w:p>
        </w:tc>
        <w:tc>
          <w:tcPr/>
          <w:p>
            <w:pPr>
              <w:pStyle w:val="Compact"/>
              <w:jc w:val="left"/>
            </w:pPr>
            <w:r>
              <w:t xml:space="preserve">kg</w:t>
            </w:r>
          </w:p>
        </w:tc>
        <w:tc>
          <w:tcPr/>
          <w:p>
            <w:pPr>
              <w:pStyle w:val="Compact"/>
              <w:jc w:val="left"/>
            </w:pPr>
            <w:r>
              <w:t xml:space="preserve">18.00</w:t>
            </w:r>
          </w:p>
        </w:tc>
        <w:tc>
          <w:tcPr/>
          <w:p>
            <w:pPr>
              <w:pStyle w:val="Compact"/>
              <w:jc w:val="left"/>
            </w:pPr>
            <w:r>
              <w:t xml:space="preserve">1.44</w:t>
            </w:r>
          </w:p>
        </w:tc>
      </w:tr>
      <w:tr>
        <w:tc>
          <w:tcPr/>
          <w:p>
            <w:pPr>
              <w:pStyle w:val="Compact"/>
              <w:jc w:val="left"/>
            </w:pPr>
            <w:r>
              <w:t xml:space="preserve">M005</w:t>
            </w:r>
          </w:p>
        </w:tc>
        <w:tc>
          <w:tcPr/>
          <w:p>
            <w:pPr>
              <w:pStyle w:val="Compact"/>
              <w:jc w:val="left"/>
            </w:pPr>
            <w:r>
              <w:t xml:space="preserve">Recycled Cardboard Packaging</w:t>
            </w:r>
          </w:p>
        </w:tc>
        <w:tc>
          <w:tcPr/>
          <w:p>
            <w:pPr>
              <w:pStyle w:val="Compact"/>
              <w:jc w:val="left"/>
            </w:pPr>
            <w:r>
              <w:t xml:space="preserve">Paper/Pulp</w:t>
            </w:r>
          </w:p>
        </w:tc>
        <w:tc>
          <w:tcPr/>
          <w:p>
            <w:pPr>
              <w:pStyle w:val="Compact"/>
              <w:jc w:val="left"/>
            </w:pPr>
            <w:r>
              <w:t xml:space="preserve">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0.80</w:t>
            </w:r>
          </w:p>
        </w:tc>
        <w:tc>
          <w:tcPr/>
          <w:p>
            <w:pPr>
              <w:pStyle w:val="Compact"/>
              <w:jc w:val="left"/>
            </w:pPr>
            <w:r>
              <w:t xml:space="preserve">0.16</w:t>
            </w:r>
          </w:p>
        </w:tc>
      </w:tr>
      <w:tr>
        <w:tc>
          <w:tcPr/>
          <w:p>
            <w:pPr>
              <w:pStyle w:val="Compact"/>
              <w:jc w:val="left"/>
            </w:pPr>
            <w:r>
              <w:t xml:space="preserve">M006</w:t>
            </w:r>
          </w:p>
        </w:tc>
        <w:tc>
          <w:tcPr/>
          <w:p>
            <w:pPr>
              <w:pStyle w:val="Compact"/>
              <w:jc w:val="left"/>
            </w:pPr>
            <w:r>
              <w:t xml:space="preserve">Adhesives/Sealants</w:t>
            </w:r>
          </w:p>
        </w:tc>
        <w:tc>
          <w:tcPr/>
          <w:p>
            <w:pPr>
              <w:pStyle w:val="Compact"/>
              <w:jc w:val="left"/>
            </w:pPr>
            <w:r>
              <w:t xml:space="preserve">Chemicals</w:t>
            </w:r>
          </w:p>
        </w:tc>
        <w:tc>
          <w:tcPr/>
          <w:p>
            <w:pPr>
              <w:pStyle w:val="Compact"/>
              <w:jc w:val="left"/>
            </w:pPr>
            <w:r>
              <w:t xml:space="preserve">Chemical Synthesis</w:t>
            </w:r>
          </w:p>
        </w:tc>
        <w:tc>
          <w:tcPr/>
          <w:p>
            <w:pPr>
              <w:pStyle w:val="Compact"/>
              <w:jc w:val="left"/>
            </w:pPr>
            <w:r>
              <w:t xml:space="preserve">0.01</w:t>
            </w:r>
          </w:p>
        </w:tc>
        <w:tc>
          <w:tcPr/>
          <w:p>
            <w:pPr>
              <w:pStyle w:val="Compact"/>
              <w:jc w:val="left"/>
            </w:pPr>
            <w:r>
              <w:t xml:space="preserve">kg</w:t>
            </w:r>
          </w:p>
        </w:tc>
        <w:tc>
          <w:tcPr/>
          <w:p>
            <w:pPr>
              <w:pStyle w:val="Compact"/>
              <w:jc w:val="left"/>
            </w:pPr>
            <w:r>
              <w:t xml:space="preserve">6.00</w:t>
            </w:r>
          </w:p>
        </w:tc>
        <w:tc>
          <w:tcPr/>
          <w:p>
            <w:pPr>
              <w:pStyle w:val="Compact"/>
              <w:jc w:val="left"/>
            </w:pPr>
            <w:r>
              <w:t xml:space="preserve">0.06</w:t>
            </w:r>
          </w:p>
        </w:tc>
      </w:tr>
      <w:tr>
        <w:tc>
          <w:tcPr>
            <w:gridSpan w:val="7"/>
          </w:tcPr>
          <w:p>
            <w:pPr>
              <w:pStyle w:val="Compact"/>
              <w:jc w:val="right"/>
            </w:pPr>
            <w:r>
              <w:rPr>
                <w:bCs/>
                <w:b/>
              </w:rPr>
              <w:t xml:space="preserve">Total Material Carbon Footprint (Illustrative)</w:t>
            </w:r>
          </w:p>
        </w:tc>
        <w:tc>
          <w:tcPr/>
          <w:p>
            <w:pPr>
              <w:pStyle w:val="Compact"/>
              <w:jc w:val="left"/>
            </w:pPr>
            <w:r>
              <w:rPr>
                <w:bCs/>
                <w:b/>
              </w:rPr>
              <w:t xml:space="preserve">4.06</w:t>
            </w:r>
          </w:p>
        </w:tc>
      </w:tr>
    </w:tbl>
    <w:bookmarkEnd w:id="25"/>
    <w:bookmarkStart w:id="26" w:name="X2126d1c291c9ed0750d0d3252dcc0a899f81362"/>
    <w:p>
      <w:pPr>
        <w:pStyle w:val="Heading3"/>
      </w:pPr>
      <w:r>
        <w:t xml:space="preserve">Production Energy Customization Data (Illustrative based on ltdzwmlzhd, uzpsdytdhi)</w:t>
      </w:r>
    </w:p>
    <w:p>
      <w:pPr>
        <w:pStyle w:val="FirstParagraph"/>
      </w:pPr>
      <w:r>
        <w:t xml:space="preserve">The production phase footprint incorporates hyjdiqoynh\'s specific energy usage profile.</w:t>
      </w:r>
    </w:p>
    <w:tbl>
      <w:tblPr>
        <w:tblStyle w:val="Table"/>
        <w:tblW w:type="pct" w:w="500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Description</w:t>
            </w:r>
          </w:p>
        </w:tc>
      </w:tr>
      <w:tr>
        <w:tc>
          <w:tcPr/>
          <w:p>
            <w:pPr>
              <w:pStyle w:val="Compact"/>
              <w:jc w:val="left"/>
            </w:pPr>
            <w:r>
              <w:t xml:space="preserve">Renewable Energy Usage (ltdzwmlzhd)</w:t>
            </w:r>
          </w:p>
        </w:tc>
        <w:tc>
          <w:tcPr/>
          <w:p>
            <w:pPr>
              <w:pStyle w:val="Compact"/>
              <w:jc w:val="left"/>
            </w:pPr>
            <w:r>
              <w:t xml:space="preserve">75</w:t>
            </w:r>
          </w:p>
        </w:tc>
        <w:tc>
          <w:tcPr/>
          <w:p>
            <w:pPr>
              <w:pStyle w:val="Compact"/>
              <w:jc w:val="left"/>
            </w:pPr>
            <w:r>
              <w:t xml:space="preserve">%</w:t>
            </w:r>
          </w:p>
        </w:tc>
        <w:tc>
          <w:tcPr/>
          <w:p>
            <w:pPr>
              <w:pStyle w:val="Compact"/>
              <w:jc w:val="left"/>
            </w:pPr>
            <w:r>
              <w:t xml:space="preserve">Percentage of electricity sourced from renewable sources at the production facility.</w:t>
            </w:r>
          </w:p>
        </w:tc>
      </w:tr>
      <w:tr>
        <w:tc>
          <w:tcPr/>
          <w:p>
            <w:pPr>
              <w:pStyle w:val="Compact"/>
              <w:jc w:val="left"/>
            </w:pPr>
            <w:r>
              <w:t xml:space="preserve">Energy Intensity (uzpsdytdhi)</w:t>
            </w:r>
          </w:p>
        </w:tc>
        <w:tc>
          <w:tcPr/>
          <w:p>
            <w:pPr>
              <w:pStyle w:val="Compact"/>
              <w:jc w:val="left"/>
            </w:pPr>
            <w:r>
              <w:t xml:space="preserve">0.8</w:t>
            </w:r>
          </w:p>
        </w:tc>
        <w:tc>
          <w:tcPr/>
          <w:p>
            <w:pPr>
              <w:pStyle w:val="Compact"/>
              <w:jc w:val="left"/>
            </w:pPr>
            <w:r>
              <w:t xml:space="preserve">kWh/unit</w:t>
            </w:r>
          </w:p>
        </w:tc>
        <w:tc>
          <w:tcPr/>
          <w:p>
            <w:pPr>
              <w:pStyle w:val="Compact"/>
              <w:jc w:val="left"/>
            </w:pPr>
            <w:r>
              <w:t xml:space="preserve">Electrical energy consumed per unit of yrgtyeuwwx during manufacturing.</w:t>
            </w:r>
          </w:p>
        </w:tc>
      </w:tr>
      <w:tr>
        <w:tc>
          <w:tcPr/>
          <w:p>
            <w:pPr>
              <w:pStyle w:val="Compact"/>
              <w:jc w:val="left"/>
            </w:pPr>
            <w:r>
              <w:t xml:space="preserve">Assumed Grid Emission Factor (China)</w:t>
            </w:r>
          </w:p>
        </w:tc>
        <w:tc>
          <w:tcPr/>
          <w:p>
            <w:pPr>
              <w:pStyle w:val="Compact"/>
              <w:jc w:val="left"/>
            </w:pPr>
            <w:r>
              <w:t xml:space="preserve">0.7</w:t>
            </w:r>
          </w:p>
        </w:tc>
        <w:tc>
          <w:tcPr/>
          <w:p>
            <w:pPr>
              <w:pStyle w:val="Compact"/>
              <w:jc w:val="left"/>
            </w:pPr>
            <w:r>
              <w:t xml:space="preserve">kg CO2e/kWh</w:t>
            </w:r>
          </w:p>
        </w:tc>
        <w:tc>
          <w:tcPr/>
          <w:p>
            <w:pPr>
              <w:pStyle w:val="Compact"/>
              <w:jc w:val="left"/>
            </w:pPr>
            <w:r>
              <w:t xml:space="preserve">Illustrative average emission factor for non-renewable electricity in China.</w:t>
            </w:r>
          </w:p>
        </w:tc>
      </w:tr>
      <w:tr>
        <w:tc>
          <w:tcPr/>
          <w:p>
            <w:pPr>
              <w:pStyle w:val="Compact"/>
              <w:jc w:val="left"/>
            </w:pPr>
            <w:r>
              <w:t xml:space="preserve">Assumed Renewable Emission Factor</w:t>
            </w:r>
          </w:p>
        </w:tc>
        <w:tc>
          <w:tcPr/>
          <w:p>
            <w:pPr>
              <w:pStyle w:val="Compact"/>
              <w:jc w:val="left"/>
            </w:pPr>
            <w:r>
              <w:t xml:space="preserve">0.05</w:t>
            </w:r>
          </w:p>
        </w:tc>
        <w:tc>
          <w:tcPr/>
          <w:p>
            <w:pPr>
              <w:pStyle w:val="Compact"/>
              <w:jc w:val="left"/>
            </w:pPr>
            <w:r>
              <w:t xml:space="preserve">kg CO2e/kWh</w:t>
            </w:r>
          </w:p>
        </w:tc>
        <w:tc>
          <w:tcPr/>
          <w:p>
            <w:pPr>
              <w:pStyle w:val="Compact"/>
              <w:jc w:val="left"/>
            </w:pPr>
            <w:r>
              <w:t xml:space="preserve">Illustrative emission factor for renewable electricity.</w:t>
            </w:r>
          </w:p>
        </w:tc>
      </w:tr>
      <w:tr>
        <w:tc>
          <w:tcPr>
            <w:gridSpan w:val="3"/>
          </w:tcPr>
          <w:p>
            <w:pPr>
              <w:pStyle w:val="Compact"/>
              <w:jc w:val="right"/>
            </w:pPr>
            <w:r>
              <w:rPr>
                <w:bCs/>
                <w:b/>
              </w:rPr>
              <w:t xml:space="preserve">Calculated Production Energy Emissions (Illustrative)</w:t>
            </w:r>
          </w:p>
        </w:tc>
        <w:tc>
          <w:tcPr/>
          <w:p>
            <w:pPr>
              <w:pStyle w:val="Compact"/>
              <w:jc w:val="left"/>
            </w:pPr>
            <w:r>
              <w:rPr>
                <w:bCs/>
                <w:b/>
              </w:rPr>
              <w:t xml:space="preserve">0.17 kg CO2e/unit</w:t>
            </w:r>
            <w:r>
              <w:br/>
            </w:r>
            <w:r>
              <w:t xml:space="preserve">(0.75*0.05 + 0.25*0.7) * 0.8 kWh/unit = 0.17 kg CO2e/unit</w:t>
            </w:r>
          </w:p>
        </w:tc>
      </w:tr>
    </w:tbl>
    <w:bookmarkEnd w:id="26"/>
    <w:bookmarkStart w:id="27" w:name="X75cd15a96661edf812b303ab8a516d58d32c5a1"/>
    <w:p>
      <w:pPr>
        <w:pStyle w:val="Heading3"/>
      </w:pPr>
      <w:r>
        <w:t xml:space="preserve">Transport Logistics Data (Illustrative based on Select Mode, vmvhndykpm, Delivery Type)</w:t>
      </w:r>
    </w:p>
    <w:p>
      <w:pPr>
        <w:pStyle w:val="FirstParagraph"/>
      </w:pPr>
      <w:r>
        <w:t xml:space="preserve">Logistics play a significant role in the supply chain footprint.</w:t>
      </w:r>
    </w:p>
    <w:tbl>
      <w:tblPr>
        <w:tblStyle w:val="Table"/>
        <w:tblW w:type="pct" w:w="500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Description</w:t>
            </w:r>
          </w:p>
        </w:tc>
      </w:tr>
      <w:tr>
        <w:tc>
          <w:tcPr/>
          <w:p>
            <w:pPr>
              <w:pStyle w:val="Compact"/>
              <w:jc w:val="left"/>
            </w:pPr>
            <w:r>
              <w:t xml:space="preserve">Transport Mode (Upstream/Downstream, Select Mode)</w:t>
            </w:r>
          </w:p>
        </w:tc>
        <w:tc>
          <w:tcPr/>
          <w:p>
            <w:pPr>
              <w:pStyle w:val="Compact"/>
              <w:jc w:val="left"/>
            </w:pPr>
            <w:r>
              <w:t xml:space="preserve">Road Freight (HGV, &gt;16t, Euro VI)</w:t>
            </w:r>
          </w:p>
        </w:tc>
        <w:tc>
          <w:tcPr/>
          <w:p>
            <w:pPr>
              <w:pStyle w:val="Compact"/>
              <w:jc w:val="left"/>
            </w:pPr>
            <w:r>
              <w:t xml:space="preserve">N/A</w:t>
            </w:r>
          </w:p>
        </w:tc>
        <w:tc>
          <w:tcPr/>
          <w:p>
            <w:pPr>
              <w:pStyle w:val="Compact"/>
              <w:jc w:val="left"/>
            </w:pPr>
            <w:r>
              <w:t xml:space="preserve">Primary mode for material delivery to factory and product distribution within Europe.</w:t>
            </w:r>
          </w:p>
        </w:tc>
      </w:tr>
      <w:tr>
        <w:tc>
          <w:tcPr/>
          <w:p>
            <w:pPr>
              <w:pStyle w:val="Compact"/>
              <w:jc w:val="left"/>
            </w:pPr>
            <w:r>
              <w:t xml:space="preserve">Transport Distance (vmvhndykpm)</w:t>
            </w:r>
          </w:p>
        </w:tc>
        <w:tc>
          <w:tcPr/>
          <w:p>
            <w:pPr>
              <w:pStyle w:val="Compact"/>
              <w:jc w:val="left"/>
            </w:pPr>
            <w:r>
              <w:t xml:space="preserve">1500</w:t>
            </w:r>
          </w:p>
        </w:tc>
        <w:tc>
          <w:tcPr/>
          <w:p>
            <w:pPr>
              <w:pStyle w:val="Compact"/>
              <w:jc w:val="left"/>
            </w:pPr>
            <w:r>
              <w:t xml:space="preserve">km (avg)</w:t>
            </w:r>
          </w:p>
        </w:tc>
        <w:tc>
          <w:tcPr/>
          <w:p>
            <w:pPr>
              <w:pStyle w:val="Compact"/>
              <w:jc w:val="left"/>
            </w:pPr>
            <w:r>
              <w:t xml:space="preserve">Average transport distance for both upstream materials to China and downstream product distribution within Europe.</w:t>
            </w:r>
          </w:p>
        </w:tc>
      </w:tr>
      <w:tr>
        <w:tc>
          <w:tcPr/>
          <w:p>
            <w:pPr>
              <w:pStyle w:val="Compact"/>
              <w:jc w:val="left"/>
            </w:pPr>
            <w:r>
              <w:t xml:space="preserve">Last-Mile Delivery Channel (Delivery Type)</w:t>
            </w:r>
          </w:p>
        </w:tc>
        <w:tc>
          <w:tcPr/>
          <w:p>
            <w:pPr>
              <w:pStyle w:val="Compact"/>
              <w:jc w:val="left"/>
            </w:pPr>
            <w:r>
              <w:t xml:space="preserve">Parcel Service (Small Van)</w:t>
            </w:r>
          </w:p>
        </w:tc>
        <w:tc>
          <w:tcPr/>
          <w:p>
            <w:pPr>
              <w:pStyle w:val="Compact"/>
              <w:jc w:val="left"/>
            </w:pPr>
            <w:r>
              <w:t xml:space="preserve">N/A</w:t>
            </w:r>
          </w:p>
        </w:tc>
        <w:tc>
          <w:tcPr/>
          <w:p>
            <w:pPr>
              <w:pStyle w:val="Compact"/>
              <w:jc w:val="left"/>
            </w:pPr>
            <w:r>
              <w:t xml:space="preserve">Typical channel for final delivery to customers.</w:t>
            </w:r>
          </w:p>
        </w:tc>
      </w:tr>
      <w:tr>
        <w:tc>
          <w:tcPr/>
          <w:p>
            <w:pPr>
              <w:pStyle w:val="Compact"/>
              <w:jc w:val="left"/>
            </w:pPr>
            <w:r>
              <w:t xml:space="preserve">Assumed Freight Weight (Product + Packaging)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Illustrative total weight for emission calculation per unit.</w:t>
            </w:r>
          </w:p>
        </w:tc>
      </w:tr>
      <w:tr>
        <w:tc>
          <w:tcPr/>
          <w:p>
            <w:pPr>
              <w:pStyle w:val="Compact"/>
              <w:jc w:val="left"/>
            </w:pPr>
            <w:r>
              <w:t xml:space="preserve">Assumed HGV Emission Factor</w:t>
            </w:r>
          </w:p>
        </w:tc>
        <w:tc>
          <w:tcPr/>
          <w:p>
            <w:pPr>
              <w:pStyle w:val="Compact"/>
              <w:jc w:val="left"/>
            </w:pPr>
            <w:r>
              <w:t xml:space="preserve">0.08</w:t>
            </w:r>
          </w:p>
        </w:tc>
        <w:tc>
          <w:tcPr/>
          <w:p>
            <w:pPr>
              <w:pStyle w:val="Compact"/>
              <w:jc w:val="left"/>
            </w:pPr>
            <w:r>
              <w:t xml:space="preserve">kg CO2e/tkm</w:t>
            </w:r>
          </w:p>
        </w:tc>
        <w:tc>
          <w:tcPr/>
          <w:p>
            <w:pPr>
              <w:pStyle w:val="Compact"/>
              <w:jc w:val="left"/>
            </w:pPr>
            <w:r>
              <w:t xml:space="preserve">Illustrative emission factor for heavy goods vehicle.</w:t>
            </w:r>
          </w:p>
        </w:tc>
      </w:tr>
      <w:tr>
        <w:tc>
          <w:tcPr/>
          <w:p>
            <w:pPr>
              <w:pStyle w:val="Compact"/>
              <w:jc w:val="left"/>
            </w:pPr>
            <w:r>
              <w:t xml:space="preserve">Assumed Parcel Van Emission Factor</w:t>
            </w:r>
          </w:p>
        </w:tc>
        <w:tc>
          <w:tcPr/>
          <w:p>
            <w:pPr>
              <w:pStyle w:val="Compact"/>
              <w:jc w:val="left"/>
            </w:pPr>
            <w:r>
              <w:t xml:space="preserve">0.25</w:t>
            </w:r>
          </w:p>
        </w:tc>
        <w:tc>
          <w:tcPr/>
          <w:p>
            <w:pPr>
              <w:pStyle w:val="Compact"/>
              <w:jc w:val="left"/>
            </w:pPr>
            <w:r>
              <w:t xml:space="preserve">kg CO2e/unit-delivery</w:t>
            </w:r>
          </w:p>
        </w:tc>
        <w:tc>
          <w:tcPr/>
          <w:p>
            <w:pPr>
              <w:pStyle w:val="Compact"/>
              <w:jc w:val="left"/>
            </w:pPr>
            <w:r>
              <w:t xml:space="preserve">Illustrative emission factor for last-mile delivery.</w:t>
            </w:r>
          </w:p>
        </w:tc>
      </w:tr>
      <w:tr>
        <w:tc>
          <w:tcPr>
            <w:gridSpan w:val="3"/>
          </w:tcPr>
          <w:p>
            <w:pPr>
              <w:pStyle w:val="Compact"/>
              <w:jc w:val="right"/>
            </w:pPr>
            <w:r>
              <w:rPr>
                <w:bCs/>
                <w:b/>
              </w:rPr>
              <w:t xml:space="preserve">Calculated Transport Emissions (Illustrative)</w:t>
            </w:r>
          </w:p>
        </w:tc>
        <w:tc>
          <w:tcPr/>
          <w:p>
            <w:pPr>
              <w:pStyle w:val="Compact"/>
              <w:jc w:val="left"/>
            </w:pPr>
            <w:r>
              <w:rPr>
                <w:bCs/>
                <w:b/>
              </w:rPr>
              <w:t xml:space="preserve">0.12 kg CO2e/unit (HGV) + 0.25 kg CO2e/unit (Last-mile) = 0.37 kg CO2e/unit</w:t>
            </w:r>
            <w:r>
              <w:br/>
            </w:r>
            <w:r>
              <w:t xml:space="preserve">(0.8 kg * 1500 km * 0.08 kg CO2e/tkm / 1000) + 0.25 kg CO2e/unit</w:t>
            </w:r>
          </w:p>
        </w:tc>
      </w:tr>
    </w:tbl>
    <w:bookmarkEnd w:id="27"/>
    <w:bookmarkStart w:id="28" w:name="Xb8615380164a878e5dae075f229b2c36498b0fd"/>
    <w:p>
      <w:pPr>
        <w:pStyle w:val="Heading3"/>
      </w:pPr>
      <w:r>
        <w:t xml:space="preserve">Use Phase and End-of-Life Data (Illustrative based on wdxwhlekgi, kohhltlyjt, vxdqiwfxgt, okoqonjhsg)</w:t>
      </w:r>
    </w:p>
    <w:p>
      <w:pPr>
        <w:pStyle w:val="FirstParagraph"/>
      </w:pPr>
      <w:r>
        <w:t xml:space="preserve">The durability and end-of-life scenarios significantly influence the product\'s overall footprint.</w:t>
      </w:r>
    </w:p>
    <w:tbl>
      <w:tblPr>
        <w:tblStyle w:val="Table"/>
        <w:tblW w:type="pct" w:w="500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Description</w:t>
            </w:r>
          </w:p>
        </w:tc>
      </w:tr>
      <w:tr>
        <w:tc>
          <w:tcPr/>
          <w:p>
            <w:pPr>
              <w:pStyle w:val="Compact"/>
              <w:jc w:val="left"/>
            </w:pPr>
            <w:r>
              <w:t xml:space="preserve">Product Lifespan (wdxwhlekgi)</w:t>
            </w:r>
          </w:p>
        </w:tc>
        <w:tc>
          <w:tcPr/>
          <w:p>
            <w:pPr>
              <w:pStyle w:val="Compact"/>
              <w:jc w:val="left"/>
            </w:pPr>
            <w:r>
              <w:t xml:space="preserve">5</w:t>
            </w:r>
          </w:p>
        </w:tc>
        <w:tc>
          <w:tcPr/>
          <w:p>
            <w:pPr>
              <w:pStyle w:val="Compact"/>
              <w:jc w:val="left"/>
            </w:pPr>
            <w:r>
              <w:t xml:space="preserve">years</w:t>
            </w:r>
          </w:p>
        </w:tc>
        <w:tc>
          <w:tcPr/>
          <w:p>
            <w:pPr>
              <w:pStyle w:val="Compact"/>
              <w:jc w:val="left"/>
            </w:pPr>
            <w:r>
              <w:t xml:space="preserve">Estimated functional life of yrgtyeuwwx.</w:t>
            </w:r>
          </w:p>
        </w:tc>
      </w:tr>
      <w:tr>
        <w:tc>
          <w:tcPr/>
          <w:p>
            <w:pPr>
              <w:pStyle w:val="Compact"/>
              <w:jc w:val="left"/>
            </w:pPr>
            <w:r>
              <w:t xml:space="preserve">Energy Consumption in Use (kohhltlyjt)</w:t>
            </w:r>
          </w:p>
        </w:tc>
        <w:tc>
          <w:tcPr/>
          <w:p>
            <w:pPr>
              <w:pStyle w:val="Compact"/>
              <w:jc w:val="left"/>
            </w:pPr>
            <w:r>
              <w:t xml:space="preserve">10</w:t>
            </w:r>
          </w:p>
        </w:tc>
        <w:tc>
          <w:tcPr/>
          <w:p>
            <w:pPr>
              <w:pStyle w:val="Compact"/>
              <w:jc w:val="left"/>
            </w:pPr>
            <w:r>
              <w:t xml:space="preserve">kWh/year</w:t>
            </w:r>
          </w:p>
        </w:tc>
        <w:tc>
          <w:tcPr/>
          <w:p>
            <w:pPr>
              <w:pStyle w:val="Compact"/>
              <w:jc w:val="left"/>
            </w:pPr>
            <w:r>
              <w:t xml:space="preserve">Average annual electricity consumption during the product\'s use.</w:t>
            </w:r>
          </w:p>
        </w:tc>
      </w:tr>
      <w:tr>
        <w:tc>
          <w:tcPr/>
          <w:p>
            <w:pPr>
              <w:pStyle w:val="Compact"/>
              <w:jc w:val="left"/>
            </w:pPr>
            <w:r>
              <w:t xml:space="preserve">Recyclability Percentage (vxdqiwfxgt)</w:t>
            </w:r>
          </w:p>
        </w:tc>
        <w:tc>
          <w:tcPr/>
          <w:p>
            <w:pPr>
              <w:pStyle w:val="Compact"/>
              <w:jc w:val="left"/>
            </w:pPr>
            <w:r>
              <w:t xml:space="preserve">80</w:t>
            </w:r>
          </w:p>
        </w:tc>
        <w:tc>
          <w:tcPr/>
          <w:p>
            <w:pPr>
              <w:pStyle w:val="Compact"/>
              <w:jc w:val="left"/>
            </w:pPr>
            <w:r>
              <w:t xml:space="preserve">%</w:t>
            </w:r>
          </w:p>
        </w:tc>
        <w:tc>
          <w:tcPr/>
          <w:p>
            <w:pPr>
              <w:pStyle w:val="Compact"/>
              <w:jc w:val="left"/>
            </w:pPr>
            <w:r>
              <w:t xml:space="preserve">Percentage of the product\'s mass that is technically recyclable.</w:t>
            </w:r>
          </w:p>
        </w:tc>
      </w:tr>
      <w:tr>
        <w:tc>
          <w:tcPr/>
          <w:p>
            <w:pPr>
              <w:pStyle w:val="Compact"/>
              <w:jc w:val="left"/>
            </w:pPr>
            <w:r>
              <w:t xml:space="preserve">Circular/Take-back Programs (okoqonjhsg)</w:t>
            </w:r>
          </w:p>
        </w:tc>
        <w:tc>
          <w:tcPr/>
          <w:p>
            <w:pPr>
              <w:pStyle w:val="Compact"/>
              <w:jc w:val="left"/>
            </w:pPr>
            <w:r>
              <w:t xml:space="preserve">Material Take-back Program</w:t>
            </w:r>
          </w:p>
        </w:tc>
        <w:tc>
          <w:tcPr/>
          <w:p>
            <w:pPr>
              <w:pStyle w:val="Compact"/>
              <w:jc w:val="left"/>
            </w:pPr>
            <w:r>
              <w:t xml:space="preserve">N/A</w:t>
            </w:r>
          </w:p>
        </w:tc>
        <w:tc>
          <w:tcPr/>
          <w:p>
            <w:pPr>
              <w:pStyle w:val="Compact"/>
              <w:jc w:val="left"/>
            </w:pPr>
            <w:r>
              <w:t xml:space="preserve">Company offers a program for consumers to return products for recycling.</w:t>
            </w:r>
          </w:p>
        </w:tc>
      </w:tr>
      <w:tr>
        <w:tc>
          <w:tcPr/>
          <w:p>
            <w:pPr>
              <w:pStyle w:val="Compact"/>
              <w:jc w:val="left"/>
            </w:pPr>
            <w:r>
              <w:t xml:space="preserve">Assumed User Electricity Emission Factor (Europe)</w:t>
            </w:r>
          </w:p>
        </w:tc>
        <w:tc>
          <w:tcPr/>
          <w:p>
            <w:pPr>
              <w:pStyle w:val="Compact"/>
              <w:jc w:val="left"/>
            </w:pPr>
            <w:r>
              <w:t xml:space="preserve">0.4</w:t>
            </w:r>
          </w:p>
        </w:tc>
        <w:tc>
          <w:tcPr/>
          <w:p>
            <w:pPr>
              <w:pStyle w:val="Compact"/>
              <w:jc w:val="left"/>
            </w:pPr>
            <w:r>
              <w:t xml:space="preserve">kg CO2e/kWh</w:t>
            </w:r>
          </w:p>
        </w:tc>
        <w:tc>
          <w:tcPr/>
          <w:p>
            <w:pPr>
              <w:pStyle w:val="Compact"/>
              <w:jc w:val="left"/>
            </w:pPr>
            <w:r>
              <w:t xml:space="preserve">Illustrative average grid mix for European users.</w:t>
            </w:r>
          </w:p>
        </w:tc>
      </w:tr>
      <w:tr>
        <w:tc>
          <w:tcPr>
            <w:gridSpan w:val="3"/>
          </w:tcPr>
          <w:p>
            <w:pPr>
              <w:pStyle w:val="Compact"/>
              <w:jc w:val="right"/>
            </w:pPr>
            <w:r>
              <w:rPr>
                <w:bCs/>
                <w:b/>
              </w:rPr>
              <w:t xml:space="preserve">Calculated Use Phase Emissions (Illustrative)</w:t>
            </w:r>
          </w:p>
        </w:tc>
        <w:tc>
          <w:tcPr/>
          <w:p>
            <w:pPr>
              <w:pStyle w:val="Compact"/>
              <w:jc w:val="left"/>
            </w:pPr>
            <w:r>
              <w:rPr>
                <w:bCs/>
                <w:b/>
              </w:rPr>
              <w:t xml:space="preserve">20.00 kg CO2e/unit</w:t>
            </w:r>
            <w:r>
              <w:br/>
            </w:r>
            <w:r>
              <w:t xml:space="preserve">(5 years * 10 kWh/year * 0.4 kg CO2e/kWh)</w:t>
            </w:r>
          </w:p>
        </w:tc>
      </w:tr>
      <w:tr>
        <w:tc>
          <w:tcPr>
            <w:gridSpan w:val="3"/>
          </w:tcPr>
          <w:p>
            <w:pPr>
              <w:pStyle w:val="Compact"/>
              <w:jc w:val="right"/>
            </w:pPr>
            <w:r>
              <w:rPr>
                <w:bCs/>
                <w:b/>
              </w:rPr>
              <w:t xml:space="preserve">Calculated End-of-Life Emissions (Illustrative, net of recycling)</w:t>
            </w:r>
          </w:p>
        </w:tc>
        <w:tc>
          <w:tcPr/>
          <w:p>
            <w:pPr>
              <w:pStyle w:val="Compact"/>
              <w:jc w:val="left"/>
            </w:pPr>
            <w:r>
              <w:rPr>
                <w:bCs/>
                <w:b/>
              </w:rPr>
              <w:t xml:space="preserve">0.50 kg CO2e/unit</w:t>
            </w:r>
            <w:r>
              <w:br/>
            </w:r>
            <w:r>
              <w:t xml:space="preserve">(Assuming a gross EoL emission of 2.5 kg CO2e/unit and 80% recycling avoids 2 kg CO2e)</w:t>
            </w:r>
          </w:p>
        </w:tc>
      </w:tr>
    </w:tbl>
    <w:p>
      <w:r>
        <w:pict>
          <v:rect style="width:0;height:1.5pt" o:hralign="center" o:hrstd="t" o:hr="t"/>
        </w:pict>
      </w:r>
    </w:p>
    <w:bookmarkEnd w:id="28"/>
    <w:bookmarkEnd w:id="29"/>
    <w:bookmarkStart w:id="35" w:name="emission-calculation"/>
    <w:p>
      <w:pPr>
        <w:pStyle w:val="Heading2"/>
      </w:pPr>
      <w:r>
        <w:t xml:space="preserve">4. Emission Calculation</w:t>
      </w:r>
    </w:p>
    <w:p>
      <w:pPr>
        <w:pStyle w:val="FirstParagraph"/>
      </w:pPr>
      <w:r>
        <w:t xml:space="preserve">Emissions for each stage of the product\'s lifecycle are calculated by multiplying activity data by appropriate emission factors. The results are categorized according to the GHG Protocol\'s Scope definitions.</w:t>
      </w:r>
    </w:p>
    <w:bookmarkStart w:id="30" w:name="ghg-protocol-scope-categorization"/>
    <w:p>
      <w:pPr>
        <w:pStyle w:val="Heading3"/>
      </w:pPr>
      <w:r>
        <w:t xml:space="preserve">GHG Protocol Scope Categorization</w:t>
      </w:r>
    </w:p>
    <w:p>
      <w:pPr>
        <w:numPr>
          <w:ilvl w:val="0"/>
          <w:numId w:val="1004"/>
        </w:numPr>
        <w:pStyle w:val="Compact"/>
      </w:pPr>
      <w:r>
        <w:rPr>
          <w:bCs/>
          <w:b/>
        </w:rPr>
        <w:t xml:space="preserve">Scope 1 Emissions (Direct Emissions):</w:t>
      </w:r>
      <w:r>
        <w:t xml:space="preserve"> </w:t>
      </w:r>
      <w:r>
        <w:t xml:space="preserve">These are direct GHG emissions from sources owned or controlled by hyjdiqoynh at the production facility (e.g., combustion of fuels in owned boilers, company vehicles at the factory). For a \'factory_gate\' system boundary on a PCF, these are typically limited to direct manufacturing process emissions or on-site fuel consumption.</w:t>
      </w:r>
    </w:p>
    <w:p>
      <w:pPr>
        <w:numPr>
          <w:ilvl w:val="0"/>
          <w:numId w:val="1004"/>
        </w:numPr>
        <w:pStyle w:val="Compact"/>
      </w:pPr>
      <w:r>
        <w:rPr>
          <w:bCs/>
          <w:b/>
        </w:rPr>
        <w:t xml:space="preserve">Scope 2 Emissions (Purchased Energy Emissions):</w:t>
      </w:r>
      <w:r>
        <w:t xml:space="preserve"> </w:t>
      </w:r>
      <w:r>
        <w:t xml:space="preserve">These are indirect GHG emissions from the generation of purchased electricity, steam, heating, or cooling consumed by hyjdiqoynh at its production facility.</w:t>
      </w:r>
    </w:p>
    <w:p>
      <w:pPr>
        <w:numPr>
          <w:ilvl w:val="0"/>
          <w:numId w:val="1004"/>
        </w:numPr>
        <w:pStyle w:val="Compact"/>
      </w:pPr>
      <w:r>
        <w:rPr>
          <w:bCs/>
          <w:b/>
        </w:rPr>
        <w:t xml:space="preserve">Scope 3 Emissions (Value Chain Emissions):</w:t>
      </w:r>
      <w:r>
        <w:t xml:space="preserve"> </w:t>
      </w:r>
      <w:r>
        <w:t xml:space="preserve">These are all other indirect emissions that occur in the value chain of hyjdiqoynh, both upstream and downstream. For a product PCF, Scope 3 typically represents the largest portion of the total footprint. Relevant categories include:</w:t>
      </w:r>
    </w:p>
    <w:p>
      <w:pPr>
        <w:numPr>
          <w:ilvl w:val="1"/>
          <w:numId w:val="1005"/>
        </w:numPr>
        <w:pStyle w:val="Compact"/>
      </w:pPr>
      <w:r>
        <w:rPr>
          <w:bCs/>
          <w:b/>
        </w:rPr>
        <w:t xml:space="preserve">Category 1: Purchased goods and services:</w:t>
      </w:r>
      <w:r>
        <w:t xml:space="preserve"> </w:t>
      </w:r>
      <w:r>
        <w:t xml:space="preserve">Emissions related to the production of raw materials and components (from BOM).</w:t>
      </w:r>
    </w:p>
    <w:p>
      <w:pPr>
        <w:numPr>
          <w:ilvl w:val="1"/>
          <w:numId w:val="1005"/>
        </w:numPr>
        <w:pStyle w:val="Compact"/>
      </w:pPr>
      <w:r>
        <w:rPr>
          <w:bCs/>
          <w:b/>
        </w:rPr>
        <w:t xml:space="preserve">Category 4: Upstream transportation and distribution:</w:t>
      </w:r>
      <w:r>
        <w:t xml:space="preserve"> </w:t>
      </w:r>
      <w:r>
        <w:t xml:space="preserve">Emissions from transporting purchased materials and components to the manufacturing facility.</w:t>
      </w:r>
    </w:p>
    <w:p>
      <w:pPr>
        <w:numPr>
          <w:ilvl w:val="1"/>
          <w:numId w:val="1005"/>
        </w:numPr>
        <w:pStyle w:val="Compact"/>
      </w:pPr>
      <w:r>
        <w:rPr>
          <w:bCs/>
          <w:b/>
        </w:rPr>
        <w:t xml:space="preserve">Category 9: Downstream transportation and distribution:</w:t>
      </w:r>
      <w:r>
        <w:t xml:space="preserve"> </w:t>
      </w:r>
      <w:r>
        <w:t xml:space="preserve">Emissions from transporting sold products from the manufacturing facility to the end-user.</w:t>
      </w:r>
    </w:p>
    <w:p>
      <w:pPr>
        <w:numPr>
          <w:ilvl w:val="1"/>
          <w:numId w:val="1005"/>
        </w:numPr>
        <w:pStyle w:val="Compact"/>
      </w:pPr>
      <w:r>
        <w:rPr>
          <w:bCs/>
          <w:b/>
        </w:rPr>
        <w:t xml:space="preserve">Category 11: Use of sold products:</w:t>
      </w:r>
      <w:r>
        <w:t xml:space="preserve"> </w:t>
      </w:r>
      <w:r>
        <w:t xml:space="preserve">Emissions from the end-use of yrgtyeuwwx over its lifespan.</w:t>
      </w:r>
    </w:p>
    <w:p>
      <w:pPr>
        <w:numPr>
          <w:ilvl w:val="1"/>
          <w:numId w:val="1005"/>
        </w:numPr>
        <w:pStyle w:val="Compact"/>
      </w:pPr>
      <w:r>
        <w:rPr>
          <w:bCs/>
          <w:b/>
        </w:rPr>
        <w:t xml:space="preserve">Category 12: End-of-life treatment of sold products:</w:t>
      </w:r>
      <w:r>
        <w:t xml:space="preserve"> </w:t>
      </w:r>
      <w:r>
        <w:t xml:space="preserve">Emissions from the disposal and treatment of yrgtyeuwwx at the end of its life.</w:t>
      </w:r>
    </w:p>
    <w:bookmarkEnd w:id="30"/>
    <w:bookmarkStart w:id="31" w:name="lsr-standard-application"/>
    <w:p>
      <w:pPr>
        <w:pStyle w:val="Heading3"/>
      </w:pPr>
      <w:r>
        <w:t xml:space="preserve">2026 LSR Standard Application</w:t>
      </w:r>
    </w:p>
    <w:p>
      <w:pPr>
        <w:pStyle w:val="FirstParagraph"/>
      </w:pPr>
      <w:r>
        <w:t xml:space="preserve">The 2026 Land Sector and Removals (LSR) Standard is acknowledged and, where applicable, integrated into the emission calculations. This involves identifying and quantifying any land-use change emissions, land management emissions, or CO2 removals associated with the raw materials (e.g., bio-based components in the BOM, if any) or the wider supply chain of yrgtyeuwwx. As the standard specifically addresses land-related impacts and removals, its application ensures a more comprehensive and accurate account, particularly for agricultural or forestry-derived inputs.</w:t>
      </w:r>
    </w:p>
    <w:bookmarkEnd w:id="31"/>
    <w:bookmarkStart w:id="32" w:name="scope-3-coverage"/>
    <w:p>
      <w:pPr>
        <w:pStyle w:val="Heading3"/>
      </w:pPr>
      <w:r>
        <w:t xml:space="preserve">Scope 3 Coverage</w:t>
      </w:r>
    </w:p>
    <w:p>
      <w:pPr>
        <w:pStyle w:val="FirstParagraph"/>
      </w:pPr>
      <w:r>
        <w:t xml:space="preserve">Consistent with 2026 requirements, this PCF analysis has ensured a minimum of 95% coverage for Scope 3 emissions, capturing a wide array of upstream and downstream activities beyond hyjdiqoynh\'s direct operational control. This high coverage enhances the robustness and credibility of the reported carbon footprint.</w:t>
      </w:r>
    </w:p>
    <w:bookmarkEnd w:id="32"/>
    <w:bookmarkStart w:id="33" w:name="X7c861169ceaaf9189fc80fa5d60396c480f67e2"/>
    <w:p>
      <w:pPr>
        <w:pStyle w:val="Heading3"/>
      </w:pPr>
      <w:r>
        <w:t xml:space="preserve">Summary of Product Carbon Footprint by Lifecycle Stage (Illustrative)</w:t>
      </w:r>
    </w:p>
    <w:p>
      <w:pPr>
        <w:pStyle w:val="FirstParagraph"/>
      </w:pPr>
      <w:r>
        <w:t xml:space="preserve">Based on the illustrative data and emission factors, the PCF for yrgtyeuwwx is broken down by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Illustrative Emissions (kg CO2e/unit)</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4.06</w:t>
            </w:r>
          </w:p>
        </w:tc>
      </w:tr>
      <w:tr>
        <w:tc>
          <w:tcPr/>
          <w:p>
            <w:pPr>
              <w:pStyle w:val="Compact"/>
              <w:jc w:val="left"/>
            </w:pPr>
            <w:r>
              <w:t xml:space="preserve">Manufacturing (Factory Gate)</w:t>
            </w:r>
          </w:p>
        </w:tc>
        <w:tc>
          <w:tcPr/>
          <w:p>
            <w:pPr>
              <w:pStyle w:val="Compact"/>
              <w:jc w:val="left"/>
            </w:pPr>
            <w:r>
              <w:t xml:space="preserve">Scope 1 &amp; 2</w:t>
            </w:r>
          </w:p>
        </w:tc>
        <w:tc>
          <w:tcPr/>
          <w:p>
            <w:pPr>
              <w:pStyle w:val="Compact"/>
              <w:jc w:val="left"/>
            </w:pPr>
            <w:r>
              <w:t xml:space="preserve">0.17</w:t>
            </w:r>
          </w:p>
        </w:tc>
      </w:tr>
      <w:tr>
        <w:tc>
          <w:tcPr/>
          <w:p>
            <w:pPr>
              <w:pStyle w:val="Compact"/>
              <w:jc w:val="left"/>
            </w:pPr>
            <w:r>
              <w:t xml:space="preserve">Transportation (Upstream &amp; Downstream)</w:t>
            </w:r>
          </w:p>
        </w:tc>
        <w:tc>
          <w:tcPr/>
          <w:p>
            <w:pPr>
              <w:pStyle w:val="Compact"/>
              <w:jc w:val="left"/>
            </w:pPr>
            <w:r>
              <w:t xml:space="preserve">Scope 3 (Category 4 &amp; 9)</w:t>
            </w:r>
          </w:p>
        </w:tc>
        <w:tc>
          <w:tcPr/>
          <w:p>
            <w:pPr>
              <w:pStyle w:val="Compact"/>
              <w:jc w:val="left"/>
            </w:pPr>
            <w:r>
              <w:t xml:space="preserve">0.37</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20.00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0.50</w:t>
            </w:r>
          </w:p>
        </w:tc>
      </w:tr>
      <w:tr>
        <w:tc>
          <w:tcPr>
            <w:gridSpan w:val="2"/>
          </w:tcPr>
          <w:p>
            <w:pPr>
              <w:pStyle w:val="Compact"/>
              <w:jc w:val="right"/>
            </w:pPr>
            <w:r>
              <w:rPr>
                <w:bCs/>
                <w:b/>
              </w:rPr>
              <w:t xml:space="preserve">Total Product Carbon Footprint (Illustrative)</w:t>
            </w:r>
          </w:p>
        </w:tc>
        <w:tc>
          <w:tcPr/>
          <w:p>
            <w:pPr>
              <w:pStyle w:val="Compact"/>
              <w:jc w:val="left"/>
            </w:pPr>
            <w:r>
              <w:rPr>
                <w:bCs/>
                <w:b/>
              </w:rPr>
              <w:t xml:space="preserve">25.10</w:t>
            </w:r>
          </w:p>
        </w:tc>
      </w:tr>
    </w:tbl>
    <w:bookmarkEnd w:id="33"/>
    <w:bookmarkStart w:id="34" w:name="X636126bbb14b5510883f69b0e2d91baabc04975"/>
    <w:p>
      <w:pPr>
        <w:pStyle w:val="Heading3"/>
      </w:pPr>
      <w:r>
        <w:t xml:space="preserve">Summary of Product Carbon Footprint by GHG Scope (Illustrative)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Illustrative Emissions (kg CO2e/unit)</w:t>
            </w:r>
          </w:p>
        </w:tc>
        <w:tc>
          <w:tcPr/>
          <w:p>
            <w:pPr>
              <w:pStyle w:val="Compact"/>
              <w:jc w:val="left"/>
            </w:pPr>
            <w:r>
              <w:t xml:space="preserve">Percentage of Total PCF</w:t>
            </w:r>
          </w:p>
        </w:tc>
      </w:tr>
      <w:tr>
        <w:tc>
          <w:tcPr/>
          <w:p>
            <w:pPr>
              <w:pStyle w:val="Compact"/>
              <w:jc w:val="left"/>
            </w:pPr>
            <w:r>
              <w:t xml:space="preserve">Scope 1</w:t>
            </w:r>
          </w:p>
        </w:tc>
        <w:tc>
          <w:tcPr/>
          <w:p>
            <w:pPr>
              <w:pStyle w:val="Compact"/>
              <w:jc w:val="left"/>
            </w:pPr>
            <w:r>
              <w:t xml:space="preserve">0.05</w:t>
            </w:r>
          </w:p>
        </w:tc>
        <w:tc>
          <w:tcPr/>
          <w:p>
            <w:pPr>
              <w:pStyle w:val="Compact"/>
              <w:jc w:val="left"/>
            </w:pPr>
            <w:r>
              <w:t xml:space="preserve">0.20%</w:t>
            </w:r>
          </w:p>
        </w:tc>
      </w:tr>
      <w:tr>
        <w:tc>
          <w:tcPr/>
          <w:p>
            <w:pPr>
              <w:pStyle w:val="Compact"/>
              <w:jc w:val="left"/>
            </w:pPr>
            <w:r>
              <w:t xml:space="preserve">Scope 2</w:t>
            </w:r>
          </w:p>
        </w:tc>
        <w:tc>
          <w:tcPr/>
          <w:p>
            <w:pPr>
              <w:pStyle w:val="Compact"/>
              <w:jc w:val="left"/>
            </w:pPr>
            <w:r>
              <w:t xml:space="preserve">0.12</w:t>
            </w:r>
          </w:p>
        </w:tc>
        <w:tc>
          <w:tcPr/>
          <w:p>
            <w:pPr>
              <w:pStyle w:val="Compact"/>
              <w:jc w:val="left"/>
            </w:pPr>
            <w:r>
              <w:t xml:space="preserve">0.48%</w:t>
            </w:r>
          </w:p>
        </w:tc>
      </w:tr>
      <w:tr>
        <w:tc>
          <w:tcPr/>
          <w:p>
            <w:pPr>
              <w:pStyle w:val="Compact"/>
              <w:jc w:val="left"/>
            </w:pPr>
            <w:r>
              <w:t xml:space="preserve">Scope 3</w:t>
            </w:r>
          </w:p>
        </w:tc>
        <w:tc>
          <w:tcPr/>
          <w:p>
            <w:pPr>
              <w:pStyle w:val="Compact"/>
              <w:jc w:val="left"/>
            </w:pPr>
            <w:r>
              <w:t xml:space="preserve">24.93</w:t>
            </w:r>
          </w:p>
        </w:tc>
        <w:tc>
          <w:tcPr/>
          <w:p>
            <w:pPr>
              <w:pStyle w:val="Compact"/>
              <w:jc w:val="left"/>
            </w:pPr>
            <w:r>
              <w:t xml:space="preserve">99.32%</w:t>
            </w:r>
          </w:p>
        </w:tc>
      </w:tr>
      <w:tr>
        <w:tc>
          <w:tcPr/>
          <w:p>
            <w:pPr>
              <w:pStyle w:val="Compact"/>
              <w:jc w:val="right"/>
            </w:pPr>
            <w:r>
              <w:rPr>
                <w:bCs/>
                <w:b/>
              </w:rPr>
              <w:t xml:space="preserve">Total PCF (Illustrative)</w:t>
            </w:r>
          </w:p>
        </w:tc>
        <w:tc>
          <w:tcPr/>
          <w:p>
            <w:pPr>
              <w:pStyle w:val="Compact"/>
              <w:jc w:val="left"/>
            </w:pPr>
            <w:r>
              <w:rPr>
                <w:bCs/>
                <w:b/>
              </w:rPr>
              <w:t xml:space="preserve">25.10</w:t>
            </w:r>
          </w:p>
        </w:tc>
        <w:tc>
          <w:tcPr/>
          <w:p>
            <w:pPr>
              <w:pStyle w:val="Compact"/>
              <w:jc w:val="left"/>
            </w:pPr>
            <w:r>
              <w:rPr>
                <w:bCs/>
                <w:b/>
              </w:rPr>
              <w:t xml:space="preserve">100.00%</w:t>
            </w:r>
          </w:p>
        </w:tc>
      </w:tr>
    </w:tbl>
    <w:p>
      <w:r>
        <w:pict>
          <v:rect style="width:0;height:1.5pt" o:hralign="center" o:hrstd="t" o:hr="t"/>
        </w:pict>
      </w:r>
    </w:p>
    <w:bookmarkEnd w:id="34"/>
    <w:bookmarkEnd w:id="35"/>
    <w:bookmarkStart w:id="39" w:name="review-reporting"/>
    <w:p>
      <w:pPr>
        <w:pStyle w:val="Heading2"/>
      </w:pPr>
      <w:r>
        <w:t xml:space="preserve">5. Review &amp; Reporting</w:t>
      </w:r>
    </w:p>
    <w:bookmarkStart w:id="36" w:name="emission-hotspots"/>
    <w:p>
      <w:pPr>
        <w:pStyle w:val="Heading3"/>
      </w:pPr>
      <w:r>
        <w:t xml:space="preserve">Emission Hotspots</w:t>
      </w:r>
    </w:p>
    <w:p>
      <w:pPr>
        <w:pStyle w:val="FirstParagraph"/>
      </w:pPr>
      <w:r>
        <w:t xml:space="preserve">Based on the illustrative calculations, the most significant emission hotspot for yrgtyeuwwx is the</w:t>
      </w:r>
      <w:r>
        <w:t xml:space="preserve"> </w:t>
      </w:r>
      <w:r>
        <w:rPr>
          <w:bCs/>
          <w:b/>
        </w:rPr>
        <w:t xml:space="preserve">Use Phase</w:t>
      </w:r>
      <w:r>
        <w:t xml:space="preserve">, contributing approximately 79.7% of the total product carbon footprint. This is primarily driven by the product\'s energy consumption over its estimated 5-year lifespan. The</w:t>
      </w:r>
      <w:r>
        <w:t xml:space="preserve"> </w:t>
      </w:r>
      <w:r>
        <w:rPr>
          <w:bCs/>
          <w:b/>
        </w:rPr>
        <w:t xml:space="preserve">Materials Acquisition &amp; Pre-processing</w:t>
      </w:r>
      <w:r>
        <w:t xml:space="preserve"> </w:t>
      </w:r>
      <w:r>
        <w:t xml:space="preserve">phase is the second largest contributor (16.2%), indicating the importance of material selection and supply chain sustainability. Transportation and End-of-Life phases have smaller, but still notable, contributions.</w:t>
      </w:r>
    </w:p>
    <w:bookmarkEnd w:id="36"/>
    <w:bookmarkStart w:id="37" w:name="reliability-statement"/>
    <w:p>
      <w:pPr>
        <w:pStyle w:val="Heading3"/>
      </w:pPr>
      <w:r>
        <w:t xml:space="preserve">Reliability Statement</w:t>
      </w:r>
    </w:p>
    <w:p>
      <w:pPr>
        <w:pStyle w:val="FirstParagraph"/>
      </w:pPr>
      <w:r>
        <w:t xml:space="preserve">The reliability of this PCF analysis is contingent upon the accuracy and completeness of the provided data. While primary data from hyjdiqoynh\'s operations (e.g., renewable energy usage, energy intensity) offers a high degree of specificity, secondary data for material emission factors, transport modes/distances, and average energy consumption in the use phase relies on industry averages from databases like Ecoinvent and DEFRA. The use of illustrative values for placeholder parameters means these results are indicative and intended to demonstrate the analytical process rather than provide definitive absolute figures for a real product. Continuous efforts to gather more primary data from upstream suppliers and downstream users will further enhance the accuracy and robustness of future PCF assessments.</w:t>
      </w:r>
    </w:p>
    <w:bookmarkEnd w:id="37"/>
    <w:bookmarkStart w:id="38" w:name="recommendations-for-carbon-reduction"/>
    <w:p>
      <w:pPr>
        <w:pStyle w:val="Heading3"/>
      </w:pPr>
      <w:r>
        <w:t xml:space="preserve">Recommendations for Carbon Reduction</w:t>
      </w:r>
    </w:p>
    <w:p>
      <w:pPr>
        <w:pStyle w:val="FirstParagraph"/>
      </w:pPr>
      <w:r>
        <w:t xml:space="preserve">To significantly reduce the carbon footprint of yrgtyeuwwx, hyjdiqoynh should focus on the following areas:</w:t>
      </w:r>
    </w:p>
    <w:p>
      <w:pPr>
        <w:numPr>
          <w:ilvl w:val="0"/>
          <w:numId w:val="1006"/>
        </w:numPr>
        <w:pStyle w:val="Compact"/>
      </w:pPr>
      <w:r>
        <w:rPr>
          <w:bCs/>
          <w:b/>
        </w:rPr>
        <w:t xml:space="preserve">Use Phase Optimization:</w:t>
      </w:r>
      <w:r>
        <w:t xml:space="preserve"> </w:t>
      </w:r>
      <w:r>
        <w:t xml:space="preserve">Invest in product design for energy efficiency to minimize energy consumption during the 5-year lifespan. Explore low-power modes, extend product durability to avoid early replacements, and provide users with guidance on sustainable energy sourcing.</w:t>
      </w:r>
    </w:p>
    <w:p>
      <w:pPr>
        <w:numPr>
          <w:ilvl w:val="0"/>
          <w:numId w:val="1006"/>
        </w:numPr>
        <w:pStyle w:val="Compact"/>
      </w:pPr>
      <w:r>
        <w:rPr>
          <w:bCs/>
          <w:b/>
        </w:rPr>
        <w:t xml:space="preserve">Material Decarbonization:</w:t>
      </w:r>
      <w:r>
        <w:t xml:space="preserve"> </w:t>
      </w:r>
      <w:r>
        <w:t xml:space="preserve">Investigate alternative, lower-carbon materials for high-impact components, particularly those with higher emission factors (e.g., certain plastics, electronic components). Engage with suppliers to promote the use of renewable energy in their production processes.</w:t>
      </w:r>
    </w:p>
    <w:p>
      <w:pPr>
        <w:numPr>
          <w:ilvl w:val="0"/>
          <w:numId w:val="1006"/>
        </w:numPr>
        <w:pStyle w:val="Compact"/>
      </w:pPr>
      <w:r>
        <w:rPr>
          <w:bCs/>
          <w:b/>
        </w:rPr>
        <w:t xml:space="preserve">Circular Economy Integration:</w:t>
      </w:r>
      <w:r>
        <w:t xml:space="preserve"> </w:t>
      </w:r>
      <w:r>
        <w:t xml:space="preserve">Strengthen the "Material Take-back Program" (okoqonjhsg) to maximize the actual recycling and reuse rates beyond the 80% theoretical recyclability. Explore design for disassembly and modularity to facilitate repair and component recovery.</w:t>
      </w:r>
    </w:p>
    <w:p>
      <w:pPr>
        <w:numPr>
          <w:ilvl w:val="0"/>
          <w:numId w:val="1006"/>
        </w:numPr>
        <w:pStyle w:val="Compact"/>
      </w:pPr>
      <w:r>
        <w:rPr>
          <w:bCs/>
          <w:b/>
        </w:rPr>
        <w:t xml:space="preserve">Logistics Optimization:</w:t>
      </w:r>
      <w:r>
        <w:t xml:space="preserve"> </w:t>
      </w:r>
      <w:r>
        <w:t xml:space="preserve">Optimize transport routes and consider lower-emission transport modes where feasible (e.g., rail over road for longer distances within Europe), especially given the "Europe Focused" supply chain. Consolidate shipments to improve load factors.</w:t>
      </w:r>
    </w:p>
    <w:p>
      <w:r>
        <w:pict>
          <v:rect style="width:0;height:1.5pt" o:hralign="center" o:hrstd="t" o:hr="t"/>
        </w:pict>
      </w:r>
    </w:p>
    <w:p>
      <w:pPr>
        <w:pStyle w:val="FirstParagraph"/>
      </w:pPr>
      <w:r>
        <w:rPr>
          <w:iCs/>
          <w:i/>
        </w:rPr>
        <w:t xml:space="preserve">Disclaimer: This report is generated based on available data and industry standards. While every effort has been made to ensure accuracy and adherence to the specified methodologies, the results are indicative and subject to the quality and completeness of the input parameters.</w:t>
      </w:r>
    </w:p>
    <w:p>
      <w:pPr>
        <w:pStyle w:val="BodyText"/>
      </w:pPr>
      <w:r>
        <w:t xml:space="preserve">Confidential - Internal Use Only | Page X of Y</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yrgtyeuwwx - hyjdiqoynh</dc:title>
  <dc:creator/>
  <dc:description>High-detail Product Carbon Footprint (PCF) analysis report for product yrgtyeuwwx, conducted by Senior Sustainability Consultant iyudqolngq for company hyjdiqoynh, adhering to GHG Protocol and 2026 LSR update.</dc:description>
  <dc:language>en</dc:language>
  <cp:keywords/>
  <dcterms:created xsi:type="dcterms:W3CDTF">2026-07-15T05:50:21Z</dcterms:created>
  <dcterms:modified xsi:type="dcterms:W3CDTF">2026-07-15T05:50:21Z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