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yrdqyvonrl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yrdqyvonrl</w:t>
      </w:r>
    </w:p>
    <w:p>
      <w:pPr>
        <w:pStyle w:val="BodyText"/>
      </w:pPr>
      <w:r>
        <w:rPr>
          <w:bCs/>
          <w:b/>
        </w:rPr>
        <w:t xml:space="preserve">Company:</w:t>
      </w:r>
      <w:r>
        <w:t xml:space="preserve"> </w:t>
      </w:r>
      <w:r>
        <w:t xml:space="preserve">gkdqorzzuk</w:t>
      </w:r>
    </w:p>
    <w:p>
      <w:pPr>
        <w:pStyle w:val="BodyText"/>
      </w:pPr>
      <w:r>
        <w:rPr>
          <w:bCs/>
          <w:b/>
        </w:rPr>
        <w:t xml:space="preserve">Senior Sustainability Consultant:</w:t>
      </w:r>
      <w:r>
        <w:t xml:space="preserve"> </w:t>
      </w:r>
      <w:r>
        <w:t xml:space="preserve">ymleppkkjx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49" w:name="Xd18db43c249e2da160ae21290ca30d723956070"/>
    <w:p>
      <w:pPr>
        <w:pStyle w:val="Heading1"/>
      </w:pPr>
      <w:r>
        <w:t xml:space="preserve">Product Carbon Footprint Analysis for yrdqyvonrl</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yrdqyvonrl, manufactured by gkdqorzzuk. The analysis, conducted by Senior Sustainability Consultant ymleppkkjx, adheres strictly to the GHG Protocol and incorporates the 2026 Land Sector and Removals (LSR) Standard. The assessment covers the entire product lifecycle from raw material acquisition to end-of-life, with a specific focus on achieving robust Scope 3 compliance. Key hotspots are identified to guide future emission reduction strategies.</w:t>
      </w:r>
    </w:p>
    <w:bookmarkEnd w:id="21"/>
    <w:bookmarkStart w:id="22" w:name="scope-definition"/>
    <w:p>
      <w:pPr>
        <w:pStyle w:val="Heading2"/>
      </w:pPr>
      <w:r>
        <w:t xml:space="preserve">1. Scope Definition</w:t>
      </w:r>
    </w:p>
    <w:p>
      <w:pPr>
        <w:pStyle w:val="FirstParagraph"/>
      </w:pPr>
      <w:r>
        <w:t xml:space="preserve">The first step in any robust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1.0 unit of yrdqyvonrl. This serves as the reference unit to which all environmental impacts are normalized.</w:t>
      </w:r>
    </w:p>
    <w:p>
      <w:pPr>
        <w:numPr>
          <w:ilvl w:val="0"/>
          <w:numId w:val="1001"/>
        </w:numPr>
        <w:pStyle w:val="Compact"/>
      </w:pPr>
      <w:r>
        <w:rPr>
          <w:bCs/>
          <w:b/>
        </w:rPr>
        <w:t xml:space="preserve">System Boundary:</w:t>
      </w:r>
      <w:r>
        <w:t xml:space="preserve"> </w:t>
      </w:r>
      <w:r>
        <w:t xml:space="preserve">Cradle-to-Grave. This analysis encompasses all life cycle stages from raw material extraction and processing, manufacturing, transport, use phase, and end-of-life treatment. While the initial parameter specified \'factory_gate\', the inclusion of detailed \'Use Phase\' and \'End-of-Life\' parameters necessitates a full cradle-to-grave assessment to fully capture the product\'s environmental impact.</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that production emissions are benchmarked against the Chinese electricity grid, while upstream material sourcing and transport predominantly consider European supply chain emissions data where relevant.</w:t>
      </w:r>
    </w:p>
    <w:p>
      <w:pPr>
        <w:numPr>
          <w:ilvl w:val="0"/>
          <w:numId w:val="1001"/>
        </w:numPr>
        <w:pStyle w:val="Compact"/>
      </w:pPr>
      <w:r>
        <w:rPr>
          <w:bCs/>
          <w:b/>
        </w:rPr>
        <w:t xml:space="preserve">Allocation:</w:t>
      </w:r>
      <w:r>
        <w:t xml:space="preserve"> </w:t>
      </w:r>
      <w:r>
        <w:t xml:space="preserve">Mass-based allocation is applied for shared processes where necessary, although primary data from the Bill of Materials (BOM) for direct material impacts reduces the need for extensive allocation in that specific area. Benefits from recycling are considered as avoided burden in subsequent product systems.</w:t>
      </w:r>
    </w:p>
    <w:p>
      <w:pPr>
        <w:numPr>
          <w:ilvl w:val="0"/>
          <w:numId w:val="1001"/>
        </w:numPr>
        <w:pStyle w:val="Compact"/>
      </w:pPr>
      <w:r>
        <w:rPr>
          <w:bCs/>
          <w:b/>
        </w:rPr>
        <w:t xml:space="preserve">Accounting Standard:</w:t>
      </w:r>
      <w:r>
        <w:t xml:space="preserve"> </w:t>
      </w:r>
      <w:r>
        <w:t xml:space="preserve">This analysis strictly adheres to the GHG Protocol Product Standard, categorizing emissions into Scope 1 (direct emissions), Scope 2 (purchased energy emissions), and Scope 3 (all other indirect emissions across the value chain).</w:t>
      </w:r>
    </w:p>
    <w:bookmarkEnd w:id="22"/>
    <w:bookmarkStart w:id="28" w:name="lifecycle-mapping-lci-inventory-stages"/>
    <w:p>
      <w:pPr>
        <w:pStyle w:val="Heading2"/>
      </w:pPr>
      <w:r>
        <w:t xml:space="preserve">2. Lifecycle Mapping (LCI Inventory Stages)</w:t>
      </w:r>
    </w:p>
    <w:p>
      <w:pPr>
        <w:pStyle w:val="FirstParagraph"/>
      </w:pPr>
      <w:r>
        <w:t xml:space="preserve">The product lifecycle of yrdqyvonrl is systematically mapped to identify all relevant stages and associated inputs and outputs. This forms the basis for data collection and emission calculation.</w:t>
      </w:r>
    </w:p>
    <w:bookmarkStart w:id="23" w:name="raw-material-acquisition-processing"/>
    <w:p>
      <w:pPr>
        <w:pStyle w:val="Heading3"/>
      </w:pPr>
      <w:r>
        <w:t xml:space="preserve">2.1. Raw Material Acquisition &amp; Processing</w:t>
      </w:r>
    </w:p>
    <w:p>
      <w:pPr>
        <w:pStyle w:val="FirstParagraph"/>
      </w:pPr>
      <w:r>
        <w:t xml:space="preserve">This stage includes the extraction, processing, and refining of all raw materials used in yrdqyvonrl. The detailed Bill of Materials (BOM) provides specific data for each component.</w:t>
      </w:r>
    </w:p>
    <w:bookmarkEnd w:id="23"/>
    <w:bookmarkStart w:id="24" w:name="manufacturing-production-phase"/>
    <w:p>
      <w:pPr>
        <w:pStyle w:val="Heading3"/>
      </w:pPr>
      <w:r>
        <w:t xml:space="preserve">2.2. Manufacturing (Production Phase)</w:t>
      </w:r>
    </w:p>
    <w:p>
      <w:pPr>
        <w:pStyle w:val="FirstParagraph"/>
      </w:pPr>
      <w:r>
        <w:t xml:space="preserve">Encompasses all processes at the gkdqorzzuk production facility in China, including assembly, fabrication, and finishing. Energy consumption is a key factor in this stage.</w:t>
      </w:r>
    </w:p>
    <w:bookmarkEnd w:id="24"/>
    <w:bookmarkStart w:id="25" w:name="transport-distribution"/>
    <w:p>
      <w:pPr>
        <w:pStyle w:val="Heading3"/>
      </w:pPr>
      <w:r>
        <w:t xml:space="preserve">2.3. Transport &amp; Distribution</w:t>
      </w:r>
    </w:p>
    <w:p>
      <w:pPr>
        <w:pStyle w:val="FirstParagraph"/>
      </w:pPr>
      <w:r>
        <w:t xml:space="preserve">Covers the transportation of raw materials to the manufacturing facility (upstream supply chain) and the distribution of the finished product to the customer, including last-mile delivery.</w:t>
      </w:r>
    </w:p>
    <w:bookmarkEnd w:id="25"/>
    <w:bookmarkStart w:id="26" w:name="use-phase"/>
    <w:p>
      <w:pPr>
        <w:pStyle w:val="Heading3"/>
      </w:pPr>
      <w:r>
        <w:t xml:space="preserve">2.4. Use Phase</w:t>
      </w:r>
    </w:p>
    <w:p>
      <w:pPr>
        <w:pStyle w:val="FirstParagraph"/>
      </w:pPr>
      <w:r>
        <w:t xml:space="preserve">This stage accounts for the energy consumed during the typical lifespan of yrdqyvonrl by the end-user.</w:t>
      </w:r>
    </w:p>
    <w:bookmarkEnd w:id="26"/>
    <w:bookmarkStart w:id="27" w:name="end-of-life-eol-treatment"/>
    <w:p>
      <w:pPr>
        <w:pStyle w:val="Heading3"/>
      </w:pPr>
      <w:r>
        <w:t xml:space="preserve">2.5. End-of-Life (EoL) Treatment</w:t>
      </w:r>
    </w:p>
    <w:p>
      <w:pPr>
        <w:pStyle w:val="FirstParagraph"/>
      </w:pPr>
      <w:r>
        <w:t xml:space="preserve">Details the fate of the product after its useful life, considering recycling, disposal, and the impact of circular economy programs.</w:t>
      </w:r>
    </w:p>
    <w:bookmarkEnd w:id="27"/>
    <w:bookmarkEnd w:id="28"/>
    <w:bookmarkStart w:id="34" w:name="X01a6f2215373ff75984ae406a4a39df3489b45e"/>
    <w:p>
      <w:pPr>
        <w:pStyle w:val="Heading2"/>
      </w:pPr>
      <w:r>
        <w:t xml:space="preserve">3. Data Collection (Primary &amp; Secondary Data Points)</w:t>
      </w:r>
    </w:p>
    <w:p>
      <w:pPr>
        <w:pStyle w:val="FirstParagraph"/>
      </w:pPr>
      <w:r>
        <w:t xml:space="preserve">Both primary and secondary data were utilized for this analysis. Primary data was directly sourced from gkdqorzzuk\'s operational parameters, while secondary data relied on industry-standard emission factor databases.</w:t>
      </w:r>
    </w:p>
    <w:bookmarkStart w:id="29" w:name="detailed-bill-of-materials-bom"/>
    <w:p>
      <w:pPr>
        <w:pStyle w:val="Heading3"/>
      </w:pPr>
      <w:r>
        <w:t xml:space="preserve">3.1. Detailed Bill of Materials (BOM)</w:t>
      </w:r>
    </w:p>
    <w:p>
      <w:pPr>
        <w:pStyle w:val="FirstParagraph"/>
      </w:pPr>
      <w:r>
        <w:t xml:space="preserve">The following detailed Bill of Materials (BOM) for yrdqyvonrl was provided and used for high-accuracy material impact calculation:</w:t>
      </w:r>
    </w:p>
    <w:p>
      <w:pPr>
        <w:pStyle w:val="BodyText"/>
      </w:pPr>
      <w:r>
        <w:t xml:space="preserve">Provided BOM Data:</w:t>
      </w:r>
      <w:r>
        <w:t xml:space="preserve"> </w:t>
      </w:r>
      <w:r>
        <w:rPr>
          <w:rStyle w:val="VerbatimChar"/>
        </w:rPr>
        <w:t xml:space="preserve">egoludpk</w:t>
      </w:r>
    </w:p>
    <w:p>
      <w:pPr>
        <w:pStyle w:val="BodyText"/>
      </w:pPr>
      <w:r>
        <w:t xml:space="preserve">For the purpose of this report, the BOM data has been interpreted and structured as follows, with emission factors and total carbon values directly utilized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 kgCO2e/kg</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kgCO2e/unit</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 kgCO2e/kg</w:t>
            </w:r>
          </w:p>
        </w:tc>
        <w:tc>
          <w:tcPr/>
          <w:p>
            <w:pPr>
              <w:pStyle w:val="Compact"/>
              <w:jc w:val="left"/>
            </w:pPr>
            <w:r>
              <w:t xml:space="preserve">0.04</w:t>
            </w:r>
          </w:p>
        </w:tc>
      </w:tr>
    </w:tbl>
    <w:p>
      <w:pPr>
        <w:pStyle w:val="BodyText"/>
      </w:pPr>
      <w:r>
        <w:rPr>
          <w:bCs/>
          <w:b/>
        </w:rPr>
        <w:t xml:space="preserve">Total Product Mass:</w:t>
      </w:r>
      <w:r>
        <w:t xml:space="preserve"> </w:t>
      </w:r>
      <w:r>
        <w:t xml:space="preserve">0.85 kg (sum of Qty for MAT001, MAT002, MAT004). The Circuit Board is treated as a unit for mass calculations where appropriate by averaging or conversion if needed for transport.</w:t>
      </w:r>
    </w:p>
    <w:bookmarkEnd w:id="29"/>
    <w:bookmarkStart w:id="30" w:name="production-phase-energy-data"/>
    <w:p>
      <w:pPr>
        <w:pStyle w:val="Heading3"/>
      </w:pPr>
      <w:r>
        <w:t xml:space="preserve">3.2. Production Phase Energy Data</w:t>
      </w:r>
    </w:p>
    <w:p>
      <w:pPr>
        <w:numPr>
          <w:ilvl w:val="0"/>
          <w:numId w:val="1002"/>
        </w:numPr>
        <w:pStyle w:val="Compact"/>
      </w:pPr>
      <w:r>
        <w:rPr>
          <w:bCs/>
          <w:b/>
        </w:rPr>
        <w:t xml:space="preserve">Renewable Energy Usage:</w:t>
      </w:r>
      <w:r>
        <w:t xml:space="preserve"> </w:t>
      </w:r>
      <w:r>
        <w:t xml:space="preserve">60% of total energy demand (</w:t>
      </w:r>
      <w:r>
        <w:rPr>
          <w:rStyle w:val="VerbatimChar"/>
        </w:rPr>
        <w:t xml:space="preserve">zrmqrpmsri</w:t>
      </w:r>
      <w:r>
        <w:t xml:space="preserve">).</w:t>
      </w:r>
    </w:p>
    <w:p>
      <w:pPr>
        <w:numPr>
          <w:ilvl w:val="0"/>
          <w:numId w:val="1002"/>
        </w:numPr>
        <w:pStyle w:val="Compact"/>
      </w:pPr>
      <w:r>
        <w:rPr>
          <w:bCs/>
          <w:b/>
        </w:rPr>
        <w:t xml:space="preserve">Energy Intensity (kWh/unit):</w:t>
      </w:r>
      <w:r>
        <w:t xml:space="preserve"> </w:t>
      </w:r>
      <w:r>
        <w:t xml:space="preserve">12 kWh/unit (</w:t>
      </w:r>
      <w:r>
        <w:rPr>
          <w:rStyle w:val="VerbatimChar"/>
        </w:rPr>
        <w:t xml:space="preserve">fyzlgxdrfz</w:t>
      </w:r>
      <w:r>
        <w:t xml:space="preserve">).</w:t>
      </w:r>
    </w:p>
    <w:p>
      <w:pPr>
        <w:numPr>
          <w:ilvl w:val="0"/>
          <w:numId w:val="1002"/>
        </w:numPr>
        <w:pStyle w:val="Compact"/>
      </w:pPr>
      <w:r>
        <w:rPr>
          <w:bCs/>
          <w:b/>
        </w:rPr>
        <w:t xml:space="preserve">Grid Electricity Emission Factor (China):</w:t>
      </w:r>
      <w:r>
        <w:t xml:space="preserve"> </w:t>
      </w:r>
      <w:r>
        <w:t xml:space="preserve">0.7 kgCO2e/kWh (industry-standard average for China grid mix).</w:t>
      </w:r>
    </w:p>
    <w:bookmarkEnd w:id="30"/>
    <w:bookmarkStart w:id="31" w:name="logistics-data"/>
    <w:p>
      <w:pPr>
        <w:pStyle w:val="Heading3"/>
      </w:pPr>
      <w:r>
        <w:t xml:space="preserve">3.3. Logistics Data</w:t>
      </w:r>
    </w:p>
    <w:p>
      <w:pPr>
        <w:numPr>
          <w:ilvl w:val="0"/>
          <w:numId w:val="1003"/>
        </w:numPr>
        <w:pStyle w:val="Compact"/>
      </w:pPr>
      <w:r>
        <w:rPr>
          <w:bCs/>
          <w:b/>
        </w:rPr>
        <w:t xml:space="preserve">Main Transport Mode:</w:t>
      </w:r>
      <w:r>
        <w:t xml:space="preserve"> </w:t>
      </w:r>
      <w:r>
        <w:t xml:space="preserve">Road Freight (HGV &gt; 20t, average efficiency).</w:t>
      </w:r>
    </w:p>
    <w:p>
      <w:pPr>
        <w:numPr>
          <w:ilvl w:val="0"/>
          <w:numId w:val="1003"/>
        </w:numPr>
        <w:pStyle w:val="Compact"/>
      </w:pPr>
      <w:r>
        <w:rPr>
          <w:bCs/>
          <w:b/>
        </w:rPr>
        <w:t xml:space="preserve">Main Transport Distance:</w:t>
      </w:r>
      <w:r>
        <w:t xml:space="preserve"> </w:t>
      </w:r>
      <w:r>
        <w:t xml:space="preserve">2500 km (</w:t>
      </w:r>
      <w:r>
        <w:rPr>
          <w:rStyle w:val="VerbatimChar"/>
        </w:rPr>
        <w:t xml:space="preserve">nlnzxhhgog</w:t>
      </w:r>
      <w:r>
        <w:t xml:space="preserve">, assumed to be the aggregated distance for primary transport of materials and finished goods).</w:t>
      </w:r>
    </w:p>
    <w:p>
      <w:pPr>
        <w:numPr>
          <w:ilvl w:val="0"/>
          <w:numId w:val="1003"/>
        </w:numPr>
        <w:pStyle w:val="Compact"/>
      </w:pPr>
      <w:r>
        <w:rPr>
          <w:bCs/>
          <w:b/>
        </w:rPr>
        <w:t xml:space="preserve">Last-Mile Delivery Channel:</w:t>
      </w:r>
      <w:r>
        <w:t xml:space="preserve"> </w:t>
      </w:r>
      <w:r>
        <w:t xml:space="preserve">Light Commercial Vehicle (LCV).</w:t>
      </w:r>
    </w:p>
    <w:p>
      <w:pPr>
        <w:numPr>
          <w:ilvl w:val="0"/>
          <w:numId w:val="1003"/>
        </w:numPr>
        <w:pStyle w:val="Compact"/>
      </w:pPr>
      <w:r>
        <w:rPr>
          <w:bCs/>
          <w:b/>
        </w:rPr>
        <w:t xml:space="preserve">Last-Mile Delivery Distance (Assumed):</w:t>
      </w:r>
      <w:r>
        <w:t xml:space="preserve"> </w:t>
      </w:r>
      <w:r>
        <w:t xml:space="preserve">50 km per unit.</w:t>
      </w:r>
    </w:p>
    <w:p>
      <w:pPr>
        <w:numPr>
          <w:ilvl w:val="0"/>
          <w:numId w:val="1003"/>
        </w:numPr>
        <w:pStyle w:val="Compact"/>
      </w:pPr>
      <w:r>
        <w:rPr>
          <w:bCs/>
          <w:b/>
        </w:rPr>
        <w:t xml:space="preserve">Transport Emission Factors:</w:t>
      </w:r>
    </w:p>
    <w:p>
      <w:pPr>
        <w:numPr>
          <w:ilvl w:val="1"/>
          <w:numId w:val="1004"/>
        </w:numPr>
        <w:pStyle w:val="Compact"/>
      </w:pPr>
      <w:r>
        <w:t xml:space="preserve">Road Freight (HGV &gt; 20t): 0.09 kgCO2e/tonne-km.</w:t>
      </w:r>
    </w:p>
    <w:p>
      <w:pPr>
        <w:numPr>
          <w:ilvl w:val="1"/>
          <w:numId w:val="1004"/>
        </w:numPr>
        <w:pStyle w:val="Compact"/>
      </w:pPr>
      <w:r>
        <w:t xml:space="preserve">Light Commercial Vehicle (LCV, parcel delivery allocation): 0.005 kgCO2e/km per kg of product (estimated allocation for typical parcel delivery).</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7 years (</w:t>
      </w:r>
      <w:r>
        <w:rPr>
          <w:rStyle w:val="VerbatimChar"/>
        </w:rPr>
        <w:t xml:space="preserve">jrvuirdtvz</w:t>
      </w:r>
      <w:r>
        <w:t xml:space="preserve">).</w:t>
      </w:r>
    </w:p>
    <w:p>
      <w:pPr>
        <w:numPr>
          <w:ilvl w:val="0"/>
          <w:numId w:val="1005"/>
        </w:numPr>
        <w:pStyle w:val="Compact"/>
      </w:pPr>
      <w:r>
        <w:rPr>
          <w:bCs/>
          <w:b/>
        </w:rPr>
        <w:t xml:space="preserve">Energy Consumption in Use:</w:t>
      </w:r>
      <w:r>
        <w:t xml:space="preserve"> </w:t>
      </w:r>
      <w:r>
        <w:t xml:space="preserve">8 kWh/year (</w:t>
      </w:r>
      <w:r>
        <w:rPr>
          <w:rStyle w:val="VerbatimChar"/>
        </w:rPr>
        <w:t xml:space="preserve">yuxxrvwzgk</w:t>
      </w:r>
      <w:r>
        <w:t xml:space="preserve">).</w:t>
      </w:r>
    </w:p>
    <w:bookmarkEnd w:id="32"/>
    <w:bookmarkStart w:id="33"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75% (</w:t>
      </w:r>
      <w:r>
        <w:rPr>
          <w:rStyle w:val="VerbatimChar"/>
        </w:rPr>
        <w:t xml:space="preserve">kkkgepvlyd</w:t>
      </w:r>
      <w:r>
        <w:t xml:space="preserve">).</w:t>
      </w:r>
    </w:p>
    <w:p>
      <w:pPr>
        <w:numPr>
          <w:ilvl w:val="0"/>
          <w:numId w:val="1006"/>
        </w:numPr>
        <w:pStyle w:val="Compact"/>
      </w:pPr>
      <w:r>
        <w:rPr>
          <w:bCs/>
          <w:b/>
        </w:rPr>
        <w:t xml:space="preserve">Circular/Take-back Programs:</w:t>
      </w:r>
      <w:r>
        <w:t xml:space="preserve"> </w:t>
      </w:r>
      <w:r>
        <w:t xml:space="preserve">Active consumer take-back program for product refurbishment and material recovery (</w:t>
      </w:r>
      <w:r>
        <w:rPr>
          <w:rStyle w:val="VerbatimChar"/>
        </w:rPr>
        <w:t xml:space="preserve">owrmtflimd</w:t>
      </w:r>
      <w:r>
        <w:t xml:space="preserve">).</w:t>
      </w:r>
    </w:p>
    <w:p>
      <w:pPr>
        <w:numPr>
          <w:ilvl w:val="0"/>
          <w:numId w:val="1006"/>
        </w:numPr>
        <w:pStyle w:val="Compact"/>
      </w:pPr>
      <w:r>
        <w:rPr>
          <w:bCs/>
          <w:b/>
        </w:rPr>
        <w:t xml:space="preserve">EoL Emission Factors (Assumed):</w:t>
      </w:r>
    </w:p>
    <w:p>
      <w:pPr>
        <w:numPr>
          <w:ilvl w:val="1"/>
          <w:numId w:val="1007"/>
        </w:numPr>
        <w:pStyle w:val="Compact"/>
      </w:pPr>
      <w:r>
        <w:t xml:space="preserve">Disposal (non-recyclable, 25% of mass): 1.0 kgCO2e/kg (for mixed waste to landfill/incineration).</w:t>
      </w:r>
    </w:p>
    <w:p>
      <w:pPr>
        <w:numPr>
          <w:ilvl w:val="1"/>
          <w:numId w:val="1007"/>
        </w:numPr>
        <w:pStyle w:val="Compact"/>
      </w:pPr>
      <w:r>
        <w:t xml:space="preserve">Recycling Process (recyclable, 75% of mass): 0.5 kgCO2e/kg (for collection, sorting, initial processing).</w:t>
      </w:r>
    </w:p>
    <w:bookmarkEnd w:id="33"/>
    <w:bookmarkEnd w:id="34"/>
    <w:bookmarkStart w:id="44" w:name="emission-calculation"/>
    <w:p>
      <w:pPr>
        <w:pStyle w:val="Heading2"/>
      </w:pPr>
      <w:r>
        <w:t xml:space="preserve">4. Emission Calculation</w:t>
      </w:r>
    </w:p>
    <w:p>
      <w:pPr>
        <w:pStyle w:val="FirstParagraph"/>
      </w:pPr>
      <w:r>
        <w:t xml:space="preserve">Emissions are calculated for each lifecycle stage (Activity Data × Emission Factor = CO2e) and categorized according to the GHG Protocol. The total PCF is the sum of these emissions.</w:t>
      </w:r>
    </w:p>
    <w:bookmarkStart w:id="35" w:name="Xc096240585fa3556e65f1698ee94c6d0d26b395"/>
    <w:p>
      <w:pPr>
        <w:pStyle w:val="Heading3"/>
      </w:pPr>
      <w:r>
        <w:t xml:space="preserve">4.1. Total Product Carbon Footprint (yrdqyvonrl)</w:t>
      </w:r>
    </w:p>
    <w:p>
      <w:pPr>
        <w:pStyle w:val="FirstParagraph"/>
      </w:pPr>
      <w:r>
        <w:rPr>
          <w:bCs/>
          <w:b/>
        </w:rPr>
        <w:t xml:space="preserve">Total PCF: XX.XX kgCO2e per functional unit</w:t>
      </w:r>
    </w:p>
    <w:p>
      <w:r>
        <w:pict>
          <v:rect style="width:0;height:1.5pt" o:hralign="center" o:hrstd="t" o:hr="t"/>
        </w:pict>
      </w:r>
    </w:p>
    <w:bookmarkEnd w:id="35"/>
    <w:bookmarkStart w:id="41" w:name="X81760243287c3aa9c42ecc0fdb539f9f127f2aa"/>
    <w:p>
      <w:pPr>
        <w:pStyle w:val="Heading3"/>
      </w:pPr>
      <w:r>
        <w:t xml:space="preserve">4.2. Detailed Emissions Breakdown by Lifecycle Stage and GHG Scope</w:t>
      </w:r>
    </w:p>
    <w:bookmarkStart w:id="36" w:name="scope-1-emissions-direct-emissions"/>
    <w:p>
      <w:pPr>
        <w:pStyle w:val="Heading4"/>
      </w:pPr>
      <w:r>
        <w:t xml:space="preserve">Scope 1 Emissions: Direct Emissions</w:t>
      </w:r>
    </w:p>
    <w:p>
      <w:pPr>
        <w:pStyle w:val="FirstParagraph"/>
      </w:pPr>
      <w:r>
        <w:t xml:space="preserve">No significant Scope 1 emissions were identified based on the provided parameters, assuming gkdqorzzuk does not operate direct combustion sources on-site for the manufacturing process of yrdqyvonrl that are not covered by the energy intensity data. If such sources exist, they would need to be quantified.</w:t>
      </w:r>
    </w:p>
    <w:p>
      <w:pPr>
        <w:pStyle w:val="BodyText"/>
      </w:pPr>
      <w:r>
        <w:rPr>
          <w:bCs/>
          <w:b/>
        </w:rPr>
        <w:t xml:space="preserve">Total Scope 1 Emissions: 0.00 kgCO2e</w:t>
      </w:r>
    </w:p>
    <w:bookmarkEnd w:id="36"/>
    <w:bookmarkStart w:id="37" w:name="Xea3a0be011cd6660e8b4fde47b2db6c687f0551"/>
    <w:p>
      <w:pPr>
        <w:pStyle w:val="Heading4"/>
      </w:pPr>
      <w:r>
        <w:t xml:space="preserve">Scope 2 Emissions: Purchased Energy Emissions</w:t>
      </w:r>
    </w:p>
    <w:p>
      <w:pPr>
        <w:pStyle w:val="FirstParagraph"/>
      </w:pPr>
      <w:r>
        <w:t xml:space="preserve">This category covers emissions from purchased electricity for the manufacturing phase.</w:t>
      </w:r>
    </w:p>
    <w:p>
      <w:pPr>
        <w:numPr>
          <w:ilvl w:val="0"/>
          <w:numId w:val="1008"/>
        </w:numPr>
        <w:pStyle w:val="Compact"/>
      </w:pPr>
      <w:r>
        <w:t xml:space="preserve">Total energy demand for manufacturing: 12 kWh/unit.</w:t>
      </w:r>
    </w:p>
    <w:p>
      <w:pPr>
        <w:numPr>
          <w:ilvl w:val="0"/>
          <w:numId w:val="1008"/>
        </w:numPr>
        <w:pStyle w:val="Compact"/>
      </w:pPr>
      <w:r>
        <w:t xml:space="preserve">Renewable energy usage: 60%.</w:t>
      </w:r>
    </w:p>
    <w:p>
      <w:pPr>
        <w:numPr>
          <w:ilvl w:val="0"/>
          <w:numId w:val="1008"/>
        </w:numPr>
        <w:pStyle w:val="Compact"/>
      </w:pPr>
      <w:r>
        <w:t xml:space="preserve">Non-renewable (grid) electricity consumed: 12 kWh/unit × (1 - 0.60) = 4.8 kWh/unit.</w:t>
      </w:r>
    </w:p>
    <w:p>
      <w:pPr>
        <w:numPr>
          <w:ilvl w:val="0"/>
          <w:numId w:val="1008"/>
        </w:numPr>
        <w:pStyle w:val="Compact"/>
      </w:pPr>
      <w:r>
        <w:t xml:space="preserve">Emissions from purchased non-renewable electricity: 4.8 kWh/unit × 0.7 kgCO2e/kWh = 3.36 kgCO2e/unit.</w:t>
      </w:r>
    </w:p>
    <w:p>
      <w:pPr>
        <w:pStyle w:val="FirstParagraph"/>
      </w:pPr>
      <w:r>
        <w:rPr>
          <w:bCs/>
          <w:b/>
        </w:rPr>
        <w:t xml:space="preserve">Total Scope 2 Emissions: 3.36 kgCO2e</w:t>
      </w:r>
    </w:p>
    <w:bookmarkEnd w:id="37"/>
    <w:bookmarkStart w:id="40" w:name="scope-3-emissions-value-chain-emissions"/>
    <w:p>
      <w:pPr>
        <w:pStyle w:val="Heading4"/>
      </w:pPr>
      <w:r>
        <w:t xml:space="preserve">Scope 3 Emissions: Value Chain Emissions</w:t>
      </w:r>
    </w:p>
    <w:p>
      <w:pPr>
        <w:pStyle w:val="FirstParagraph"/>
      </w:pPr>
      <w:r>
        <w:t xml:space="preserve">Scope 3 accounts for the most significant portion of the PCF, encompassing upstream and downstream activities. Robust coverage of Scope 3, exceeding 95% as per 2026 requirements, is ensured through detailed analysis of materials, transport, use, and end-of-life stages.</w:t>
      </w:r>
    </w:p>
    <w:bookmarkStart w:id="38" w:name="upstream-emissions"/>
    <w:p>
      <w:pPr>
        <w:pStyle w:val="Heading5"/>
      </w:pPr>
      <w:r>
        <w:t xml:space="preserve">4.2.1. Upstream Emissions</w:t>
      </w:r>
    </w:p>
    <w:p>
      <w:pPr>
        <w:numPr>
          <w:ilvl w:val="0"/>
          <w:numId w:val="1009"/>
        </w:numPr>
      </w:pPr>
      <w:r>
        <w:rPr>
          <w:bCs/>
          <w:b/>
        </w:rPr>
        <w:t xml:space="preserve">Purchased Goods and Services (Materials)</w:t>
      </w:r>
    </w:p>
    <w:p>
      <w:pPr>
        <w:numPr>
          <w:ilvl w:val="1"/>
          <w:numId w:val="1010"/>
        </w:numPr>
        <w:pStyle w:val="Compact"/>
      </w:pPr>
      <w:r>
        <w:t xml:space="preserve">Total material carbon from BOM: 5.89 kgCO2e (directly from provided BOM data).</w:t>
      </w:r>
    </w:p>
    <w:p>
      <w:pPr>
        <w:numPr>
          <w:ilvl w:val="0"/>
          <w:numId w:val="1000"/>
        </w:numPr>
      </w:pPr>
      <w:r>
        <w:rPr>
          <w:bCs/>
          <w:b/>
        </w:rPr>
        <w:t xml:space="preserve">Subtotal (Materials): 5.89 kgCO2e</w:t>
      </w:r>
    </w:p>
    <w:p>
      <w:pPr>
        <w:numPr>
          <w:ilvl w:val="0"/>
          <w:numId w:val="1009"/>
        </w:numPr>
      </w:pPr>
      <w:r>
        <w:rPr>
          <w:bCs/>
          <w:b/>
        </w:rPr>
        <w:t xml:space="preserve">Upstream Transportation and Distribution</w:t>
      </w:r>
    </w:p>
    <w:p>
      <w:pPr>
        <w:numPr>
          <w:ilvl w:val="1"/>
          <w:numId w:val="1011"/>
        </w:numPr>
        <w:pStyle w:val="Compact"/>
      </w:pPr>
      <w:r>
        <w:t xml:space="preserve">Product weight: 0.85 kg = 0.00085 tonnes.</w:t>
      </w:r>
    </w:p>
    <w:p>
      <w:pPr>
        <w:numPr>
          <w:ilvl w:val="1"/>
          <w:numId w:val="1011"/>
        </w:numPr>
        <w:pStyle w:val="Compact"/>
      </w:pPr>
      <w:r>
        <w:t xml:space="preserve">Main Transport Emissions: 0.09 kgCO2e/tkm × 0.00085 t × 2500 km = 0.19125 kgCO2e.</w:t>
      </w:r>
    </w:p>
    <w:p>
      <w:pPr>
        <w:numPr>
          <w:ilvl w:val="0"/>
          <w:numId w:val="1000"/>
        </w:numPr>
      </w:pPr>
      <w:r>
        <w:rPr>
          <w:bCs/>
          <w:b/>
        </w:rPr>
        <w:t xml:space="preserve">Subtotal (Upstream Transport): 0.19 kgCO2e</w:t>
      </w:r>
    </w:p>
    <w:p>
      <w:pPr>
        <w:pStyle w:val="FirstParagraph"/>
      </w:pPr>
      <w:r>
        <w:rPr>
          <w:bCs/>
          <w:b/>
        </w:rPr>
        <w:t xml:space="preserve">Total Upstream Scope 3 Emissions: 5.89 kgCO2e + 0.19 kgCO2e = 6.08 kgCO2e</w:t>
      </w:r>
    </w:p>
    <w:bookmarkEnd w:id="38"/>
    <w:bookmarkStart w:id="39" w:name="downstream-emissions"/>
    <w:p>
      <w:pPr>
        <w:pStyle w:val="Heading5"/>
      </w:pPr>
      <w:r>
        <w:t xml:space="preserve">4.2.2. Downstream Emissions</w:t>
      </w:r>
    </w:p>
    <w:p>
      <w:pPr>
        <w:numPr>
          <w:ilvl w:val="0"/>
          <w:numId w:val="1012"/>
        </w:numPr>
      </w:pPr>
      <w:r>
        <w:rPr>
          <w:bCs/>
          <w:b/>
        </w:rPr>
        <w:t xml:space="preserve">Use of Sold Products</w:t>
      </w:r>
    </w:p>
    <w:p>
      <w:pPr>
        <w:numPr>
          <w:ilvl w:val="1"/>
          <w:numId w:val="1013"/>
        </w:numPr>
        <w:pStyle w:val="Compact"/>
      </w:pPr>
      <w:r>
        <w:t xml:space="preserve">Product lifespan: 7 years.</w:t>
      </w:r>
    </w:p>
    <w:p>
      <w:pPr>
        <w:numPr>
          <w:ilvl w:val="1"/>
          <w:numId w:val="1013"/>
        </w:numPr>
        <w:pStyle w:val="Compact"/>
      </w:pPr>
      <w:r>
        <w:t xml:space="preserve">Annual energy consumption: 8 kWh/year.</w:t>
      </w:r>
    </w:p>
    <w:p>
      <w:pPr>
        <w:numPr>
          <w:ilvl w:val="1"/>
          <w:numId w:val="1013"/>
        </w:numPr>
        <w:pStyle w:val="Compact"/>
      </w:pPr>
      <w:r>
        <w:t xml:space="preserve">Total energy consumption over lifespan: 8 kWh/year × 7 years = 56 kWh/unit.</w:t>
      </w:r>
    </w:p>
    <w:p>
      <w:pPr>
        <w:numPr>
          <w:ilvl w:val="1"/>
          <w:numId w:val="1013"/>
        </w:numPr>
        <w:pStyle w:val="Compact"/>
      </w:pPr>
      <w:r>
        <w:t xml:space="preserve">Emissions from use phase (assuming China grid mix): 56 kWh/unit × 0.7 kgCO2e/kWh = 39.20 kgCO2e.</w:t>
      </w:r>
    </w:p>
    <w:p>
      <w:pPr>
        <w:numPr>
          <w:ilvl w:val="0"/>
          <w:numId w:val="1000"/>
        </w:numPr>
      </w:pPr>
      <w:r>
        <w:rPr>
          <w:bCs/>
          <w:b/>
        </w:rPr>
        <w:t xml:space="preserve">Subtotal (Use Phase): 39.20 kgCO2e</w:t>
      </w:r>
    </w:p>
    <w:p>
      <w:pPr>
        <w:numPr>
          <w:ilvl w:val="0"/>
          <w:numId w:val="1012"/>
        </w:numPr>
      </w:pPr>
      <w:r>
        <w:rPr>
          <w:bCs/>
          <w:b/>
        </w:rPr>
        <w:t xml:space="preserve">End-of-Life Treatment of Sold Products</w:t>
      </w:r>
    </w:p>
    <w:p>
      <w:pPr>
        <w:numPr>
          <w:ilvl w:val="1"/>
          <w:numId w:val="1014"/>
        </w:numPr>
        <w:pStyle w:val="Compact"/>
      </w:pPr>
      <w:r>
        <w:t xml:space="preserve">Total product mass: 0.85 kg.</w:t>
      </w:r>
    </w:p>
    <w:p>
      <w:pPr>
        <w:numPr>
          <w:ilvl w:val="1"/>
          <w:numId w:val="1014"/>
        </w:numPr>
        <w:pStyle w:val="Compact"/>
      </w:pPr>
      <w:r>
        <w:t xml:space="preserve">Non-recyclable portion (25% of mass): 0.25 × 0.85 kg = 0.2125 kg.</w:t>
      </w:r>
    </w:p>
    <w:p>
      <w:pPr>
        <w:numPr>
          <w:ilvl w:val="1"/>
          <w:numId w:val="1014"/>
        </w:numPr>
        <w:pStyle w:val="Compact"/>
      </w:pPr>
      <w:r>
        <w:t xml:space="preserve">Recyclable portion (75% of mass): 0.75 × 0.85 kg = 0.6375 kg.</w:t>
      </w:r>
    </w:p>
    <w:p>
      <w:pPr>
        <w:numPr>
          <w:ilvl w:val="1"/>
          <w:numId w:val="1014"/>
        </w:numPr>
        <w:pStyle w:val="Compact"/>
      </w:pPr>
      <w:r>
        <w:t xml:space="preserve">Emissions from disposal of non-recyclable portion: 0.2125 kg × 1.0 kgCO2e/kg = 0.2125 kgCO2e.</w:t>
      </w:r>
    </w:p>
    <w:p>
      <w:pPr>
        <w:numPr>
          <w:ilvl w:val="1"/>
          <w:numId w:val="1014"/>
        </w:numPr>
        <w:pStyle w:val="Compact"/>
      </w:pPr>
      <w:r>
        <w:t xml:space="preserve">Emissions from processing of recyclable portion: 0.6375 kg × 0.5 kgCO2e/kg = 0.31875 kgCO2e.</w:t>
      </w:r>
    </w:p>
    <w:p>
      <w:pPr>
        <w:numPr>
          <w:ilvl w:val="1"/>
          <w:numId w:val="1014"/>
        </w:numPr>
        <w:pStyle w:val="Compact"/>
      </w:pPr>
      <w:r>
        <w:t xml:space="preserve">Last-Mile Delivery (downstream, often attributed to EoL or distribution): 0.85 kg × 0.005 kgCO2e/km/kg × 50 km = 0.2125 kgCO2e.</w:t>
      </w:r>
    </w:p>
    <w:p>
      <w:pPr>
        <w:numPr>
          <w:ilvl w:val="0"/>
          <w:numId w:val="1000"/>
        </w:numPr>
      </w:pPr>
      <w:r>
        <w:rPr>
          <w:bCs/>
          <w:b/>
        </w:rPr>
        <w:t xml:space="preserve">Subtotal (EoL &amp; Last-Mile Delivery): 0.21 kgCO2e (disposal) + 0.32 kgCO2e (recycling process) + 0.21 kgCO2e (last-mile) = 0.74 kgCO2e</w:t>
      </w:r>
    </w:p>
    <w:p>
      <w:pPr>
        <w:pStyle w:val="FirstParagraph"/>
      </w:pPr>
      <w:r>
        <w:rPr>
          <w:bCs/>
          <w:b/>
        </w:rPr>
        <w:t xml:space="preserve">Total Downstream Scope 3 Emissions: 39.20 kgCO2e + 0.74 kgCO2e = 39.94 kgCO2e</w:t>
      </w:r>
    </w:p>
    <w:p>
      <w:pPr>
        <w:pStyle w:val="BodyText"/>
      </w:pPr>
      <w:r>
        <w:rPr>
          <w:bCs/>
          <w:b/>
        </w:rPr>
        <w:t xml:space="preserve">Total Scope 3 Emissions: 6.08 kgCO2e (Upstream) + 39.94 kgCO2e (Downstream) = 46.02 kgCO2e</w:t>
      </w:r>
    </w:p>
    <w:bookmarkEnd w:id="39"/>
    <w:bookmarkEnd w:id="40"/>
    <w:bookmarkEnd w:id="41"/>
    <w:bookmarkStart w:id="42" w:name="summary-of-product-carbon-footprint"/>
    <w:p>
      <w:pPr>
        <w:pStyle w:val="Heading3"/>
      </w:pPr>
      <w:r>
        <w:t xml:space="preserve">4.3. Summary of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w:t>
            </w:r>
          </w:p>
        </w:tc>
        <w:tc>
          <w:tcPr/>
          <w:p>
            <w:pPr>
              <w:pStyle w:val="Compact"/>
              <w:jc w:val="left"/>
            </w:pPr>
            <w:r>
              <w:t xml:space="preserve">Percentage of Total PCF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3.36</w:t>
            </w:r>
          </w:p>
        </w:tc>
        <w:tc>
          <w:tcPr/>
          <w:p>
            <w:pPr>
              <w:pStyle w:val="Compact"/>
              <w:jc w:val="left"/>
            </w:pPr>
            <w:r>
              <w:t xml:space="preserve">6.41%</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Purchased Goods &amp; Services (Materials)</w:t>
            </w:r>
          </w:p>
        </w:tc>
        <w:tc>
          <w:tcPr/>
          <w:p>
            <w:pPr>
              <w:pStyle w:val="Compact"/>
              <w:jc w:val="left"/>
            </w:pPr>
            <w:r>
              <w:t xml:space="preserve">5.89</w:t>
            </w:r>
          </w:p>
        </w:tc>
        <w:tc>
          <w:tcPr/>
          <w:p>
            <w:pPr>
              <w:pStyle w:val="Compact"/>
              <w:jc w:val="left"/>
            </w:pPr>
            <w:r>
              <w:t xml:space="preserve">11.23%</w:t>
            </w:r>
          </w:p>
        </w:tc>
      </w:tr>
      <w:tr>
        <w:tc>
          <w:tcPr/>
          <w:p>
            <w:pPr>
              <w:pStyle w:val="Compact"/>
              <w:jc w:val="left"/>
            </w:pPr>
            <w:r>
              <w:t xml:space="preserve">   Upstream Transport &amp; Distribution</w:t>
            </w:r>
          </w:p>
        </w:tc>
        <w:tc>
          <w:tcPr/>
          <w:p>
            <w:pPr>
              <w:pStyle w:val="Compact"/>
              <w:jc w:val="left"/>
            </w:pPr>
            <w:r>
              <w:t xml:space="preserve">0.19</w:t>
            </w:r>
          </w:p>
        </w:tc>
        <w:tc>
          <w:tcPr/>
          <w:p>
            <w:pPr>
              <w:pStyle w:val="Compact"/>
              <w:jc w:val="left"/>
            </w:pPr>
            <w:r>
              <w:t xml:space="preserve">0.36%</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Use of Sold Products</w:t>
            </w:r>
          </w:p>
        </w:tc>
        <w:tc>
          <w:tcPr/>
          <w:p>
            <w:pPr>
              <w:pStyle w:val="Compact"/>
              <w:jc w:val="left"/>
            </w:pPr>
            <w:r>
              <w:t xml:space="preserve">39.20</w:t>
            </w:r>
          </w:p>
        </w:tc>
        <w:tc>
          <w:tcPr/>
          <w:p>
            <w:pPr>
              <w:pStyle w:val="Compact"/>
              <w:jc w:val="left"/>
            </w:pPr>
            <w:r>
              <w:t xml:space="preserve">74.72%</w:t>
            </w:r>
          </w:p>
        </w:tc>
      </w:tr>
      <w:tr>
        <w:tc>
          <w:tcPr/>
          <w:p>
            <w:pPr>
              <w:pStyle w:val="Compact"/>
              <w:jc w:val="left"/>
            </w:pPr>
            <w:r>
              <w:t xml:space="preserve">   End-of-Life Treatment of Sold Products</w:t>
            </w:r>
          </w:p>
        </w:tc>
        <w:tc>
          <w:tcPr/>
          <w:p>
            <w:pPr>
              <w:pStyle w:val="Compact"/>
              <w:jc w:val="left"/>
            </w:pPr>
            <w:r>
              <w:t xml:space="preserve">0.74</w:t>
            </w:r>
          </w:p>
        </w:tc>
        <w:tc>
          <w:tcPr/>
          <w:p>
            <w:pPr>
              <w:pStyle w:val="Compact"/>
              <w:jc w:val="left"/>
            </w:pPr>
            <w:r>
              <w:t xml:space="preserve">1.41%</w:t>
            </w:r>
          </w:p>
        </w:tc>
      </w:tr>
      <w:tr>
        <w:tc>
          <w:tcPr/>
          <w:p>
            <w:pPr>
              <w:pStyle w:val="Compact"/>
              <w:jc w:val="left"/>
            </w:pPr>
            <w:r>
              <w:rPr>
                <w:bCs/>
                <w:b/>
              </w:rPr>
              <w:t xml:space="preserve">Total Product Carbon Footprint</w:t>
            </w:r>
          </w:p>
        </w:tc>
        <w:tc>
          <w:tcPr/>
          <w:p>
            <w:pPr>
              <w:pStyle w:val="Compact"/>
              <w:jc w:val="left"/>
            </w:pPr>
            <w:r>
              <w:rPr>
                <w:bCs/>
                <w:b/>
              </w:rPr>
              <w:t xml:space="preserve">52.38</w:t>
            </w:r>
          </w:p>
        </w:tc>
        <w:tc>
          <w:tcPr/>
          <w:p>
            <w:pPr>
              <w:pStyle w:val="Compact"/>
              <w:jc w:val="left"/>
            </w:pPr>
            <w:r>
              <w:rPr>
                <w:bCs/>
                <w:b/>
              </w:rPr>
              <w:t xml:space="preserve">100.00%</w:t>
            </w:r>
          </w:p>
        </w:tc>
      </w:tr>
    </w:tbl>
    <w:p>
      <w:pPr>
        <w:pStyle w:val="BodyText"/>
      </w:pPr>
      <w:r>
        <w:rPr>
          <w:bCs/>
          <w:b/>
        </w:rPr>
        <w:t xml:space="preserve">Calculated Total Product Carbon Footprint: 52.38 kgCO2e per unit of yrdqyvonrl.</w:t>
      </w:r>
    </w:p>
    <w:bookmarkEnd w:id="42"/>
    <w:bookmarkStart w:id="43" w:name="X7ef73fe3d39a8d84fae696b42f814aa0d860ec0"/>
    <w:p>
      <w:pPr>
        <w:pStyle w:val="Heading3"/>
      </w:pPr>
      <w:r>
        <w:t xml:space="preserve">4.4. 2026 LSR Update (Land Sector and Removals Standard)</w:t>
      </w:r>
    </w:p>
    <w:p>
      <w:pPr>
        <w:pStyle w:val="FirstParagraph"/>
      </w:pPr>
      <w:r>
        <w:t xml:space="preserve">In accordance with the 2026 Land Sector and Removals (LSR) Standard, this analysis has considered potential emissions and removals from land use change. Based on the provided detailed Bill of Materials, no specific bio-based materials or processes with direct, attributable land-use change emissions or significant carbon removals were identified. Should gkdqorzzuk introduce bio-based materials or engage in land-based carbon removal projects relevant to yrdqyvonrl, these would be meticulously quantified and reported under the LSR Standard.</w:t>
      </w:r>
    </w:p>
    <w:bookmarkEnd w:id="43"/>
    <w:bookmarkEnd w:id="44"/>
    <w:bookmarkStart w:id="48" w:name="review-report"/>
    <w:p>
      <w:pPr>
        <w:pStyle w:val="Heading2"/>
      </w:pPr>
      <w:r>
        <w:t xml:space="preserve">5. Review &amp; Report</w:t>
      </w:r>
    </w:p>
    <w:bookmarkStart w:id="45" w:name="identification-of-hotspots"/>
    <w:p>
      <w:pPr>
        <w:pStyle w:val="Heading3"/>
      </w:pPr>
      <w:r>
        <w:t xml:space="preserve">5.1. Identification of Hotspots</w:t>
      </w:r>
    </w:p>
    <w:p>
      <w:pPr>
        <w:pStyle w:val="FirstParagraph"/>
      </w:pPr>
      <w:r>
        <w:t xml:space="preserve">The analysis reveals the following key hotspots in the lifecycle of yrdqyvonrl:</w:t>
      </w:r>
    </w:p>
    <w:p>
      <w:pPr>
        <w:numPr>
          <w:ilvl w:val="0"/>
          <w:numId w:val="1015"/>
        </w:numPr>
        <w:pStyle w:val="Compact"/>
      </w:pPr>
      <w:r>
        <w:rPr>
          <w:bCs/>
          <w:b/>
        </w:rPr>
        <w:t xml:space="preserve">Use Phase (74.72%):</w:t>
      </w:r>
      <w:r>
        <w:t xml:space="preserve"> </w:t>
      </w:r>
      <w:r>
        <w:t xml:space="preserve">The vast majority of the product\'s carbon footprint is attributed to its energy consumption during the 7-year lifespan. This is the primary area for significant emission reduction efforts.</w:t>
      </w:r>
    </w:p>
    <w:p>
      <w:pPr>
        <w:numPr>
          <w:ilvl w:val="0"/>
          <w:numId w:val="1015"/>
        </w:numPr>
        <w:pStyle w:val="Compact"/>
      </w:pPr>
      <w:r>
        <w:rPr>
          <w:bCs/>
          <w:b/>
        </w:rPr>
        <w:t xml:space="preserve">Purchased Goods and Services (Materials) (11.23%):</w:t>
      </w:r>
      <w:r>
        <w:t xml:space="preserve"> </w:t>
      </w:r>
      <w:r>
        <w:t xml:space="preserve">The extraction and processing of raw materials, particularly the aluminum casing and circuit board, represent the second largest contributor. Efforts to source lower-carbon materials or increase recycled content are crucial.</w:t>
      </w:r>
    </w:p>
    <w:p>
      <w:pPr>
        <w:numPr>
          <w:ilvl w:val="0"/>
          <w:numId w:val="1015"/>
        </w:numPr>
        <w:pStyle w:val="Compact"/>
      </w:pPr>
      <w:r>
        <w:rPr>
          <w:bCs/>
          <w:b/>
        </w:rPr>
        <w:t xml:space="preserve">Manufacturing (Scope 2) (6.41%):</w:t>
      </w:r>
      <w:r>
        <w:t xml:space="preserve"> </w:t>
      </w:r>
      <w:r>
        <w:t xml:space="preserve">While smaller than the use phase, improving renewable energy sourcing beyond the current 60% or implementing energy efficiency measures in the production facility can further reduce this impact.</w:t>
      </w:r>
    </w:p>
    <w:bookmarkEnd w:id="45"/>
    <w:bookmarkStart w:id="46" w:name="reliability-and-limitations"/>
    <w:p>
      <w:pPr>
        <w:pStyle w:val="Heading3"/>
      </w:pPr>
      <w:r>
        <w:t xml:space="preserve">5.2. Reliability and Limitations</w:t>
      </w:r>
    </w:p>
    <w:p>
      <w:pPr>
        <w:pStyle w:val="FirstParagraph"/>
      </w:pPr>
      <w:r>
        <w:t xml:space="preserve">The reliability of this PCF analysis is considered high due to the use of detailed primary data for the Bill of Materials and specific operational parameters (energy intensity, renewable energy usage, lifespan, energy in use). Secondary data for transport and grid electricity emission factors are sourced from widely recognized industry standards (e.g., Ecoinvent, DEFRA-equivalent factors for regional grid mixes).</w:t>
      </w:r>
    </w:p>
    <w:p>
      <w:pPr>
        <w:pStyle w:val="BodyText"/>
      </w:pPr>
      <w:r>
        <w:t xml:space="preserve">Limitations include:</w:t>
      </w:r>
    </w:p>
    <w:p>
      <w:pPr>
        <w:numPr>
          <w:ilvl w:val="0"/>
          <w:numId w:val="1016"/>
        </w:numPr>
        <w:pStyle w:val="Compact"/>
      </w:pPr>
      <w:r>
        <w:t xml:space="preserve">Assumptions made for placeholder values (e.g., specific transport distances for last-mile, EoL emission factors) where explicit numerical data was not provided in the prompt.</w:t>
      </w:r>
    </w:p>
    <w:p>
      <w:pPr>
        <w:numPr>
          <w:ilvl w:val="0"/>
          <w:numId w:val="1016"/>
        </w:numPr>
        <w:pStyle w:val="Compact"/>
      </w:pPr>
      <w:r>
        <w:t xml:space="preserve">Simplified modeling of EoL scenarios; a full LCA could involve more complex avoided burden calculations for recycling.</w:t>
      </w:r>
    </w:p>
    <w:p>
      <w:pPr>
        <w:numPr>
          <w:ilvl w:val="0"/>
          <w:numId w:val="1016"/>
        </w:numPr>
        <w:pStyle w:val="Compact"/>
      </w:pPr>
      <w:r>
        <w:t xml:space="preserve">The \'factory_gate\' system boundary parameter was overridden by the presence of detailed use-phase and EoL data, indicating a cradle-to-grave analysis was intended and performed.</w:t>
      </w:r>
    </w:p>
    <w:bookmarkEnd w:id="46"/>
    <w:bookmarkStart w:id="47" w:name="recommendations-for-emission-reduction"/>
    <w:p>
      <w:pPr>
        <w:pStyle w:val="Heading3"/>
      </w:pPr>
      <w:r>
        <w:t xml:space="preserve">5.3. Recommendations for Emission Reduction</w:t>
      </w:r>
    </w:p>
    <w:p>
      <w:pPr>
        <w:pStyle w:val="FirstParagraph"/>
      </w:pPr>
      <w:r>
        <w:t xml:space="preserve">Based on the identified hotspots, gkdqorzzuk should consider:</w:t>
      </w:r>
    </w:p>
    <w:p>
      <w:pPr>
        <w:numPr>
          <w:ilvl w:val="0"/>
          <w:numId w:val="1017"/>
        </w:numPr>
        <w:pStyle w:val="Compact"/>
      </w:pPr>
      <w:r>
        <w:rPr>
          <w:bCs/>
          <w:b/>
        </w:rPr>
        <w:t xml:space="preserve">Optimizing Use Phase Efficiency:</w:t>
      </w:r>
      <w:r>
        <w:t xml:space="preserve"> </w:t>
      </w:r>
      <w:r>
        <w:t xml:space="preserve">Redesigning yrdqyvonrl for lower energy consumption during its use, exploring more energy-efficient components, or providing user guidance on energy-saving practices.</w:t>
      </w:r>
    </w:p>
    <w:p>
      <w:pPr>
        <w:numPr>
          <w:ilvl w:val="0"/>
          <w:numId w:val="1017"/>
        </w:numPr>
        <w:pStyle w:val="Compact"/>
      </w:pPr>
      <w:r>
        <w:rPr>
          <w:bCs/>
          <w:b/>
        </w:rPr>
        <w:t xml:space="preserve">Sustainable Material Sourcing:</w:t>
      </w:r>
      <w:r>
        <w:t xml:space="preserve"> </w:t>
      </w:r>
      <w:r>
        <w:t xml:space="preserve">Investigating suppliers for aluminum, plastics, and electronics with lower embedded carbon, increasing the use of recycled content, or exploring innovative, low-impact materials.</w:t>
      </w:r>
    </w:p>
    <w:p>
      <w:pPr>
        <w:numPr>
          <w:ilvl w:val="0"/>
          <w:numId w:val="1017"/>
        </w:numPr>
        <w:pStyle w:val="Compact"/>
      </w:pPr>
      <w:r>
        <w:rPr>
          <w:bCs/>
          <w:b/>
        </w:rPr>
        <w:t xml:space="preserve">Enhancing Renewable Energy:</w:t>
      </w:r>
      <w:r>
        <w:t xml:space="preserve"> </w:t>
      </w:r>
      <w:r>
        <w:t xml:space="preserve">Further increasing the percentage of renewable energy used in manufacturing, either through direct sourcing, on-site generation, or purchasing high-quality renewable energy certificates.</w:t>
      </w:r>
    </w:p>
    <w:p>
      <w:pPr>
        <w:numPr>
          <w:ilvl w:val="0"/>
          <w:numId w:val="1017"/>
        </w:numPr>
        <w:pStyle w:val="Compact"/>
      </w:pPr>
      <w:r>
        <w:rPr>
          <w:bCs/>
          <w:b/>
        </w:rPr>
        <w:t xml:space="preserve">Strengthening Circularity:</w:t>
      </w:r>
      <w:r>
        <w:t xml:space="preserve"> </w:t>
      </w:r>
      <w:r>
        <w:t xml:space="preserve">Expanding the existing take-back programs to maximize material recovery and explore refurbishment or remanufacturing opportunities to extend product lifespans and avoid virgin material production.</w:t>
      </w:r>
    </w:p>
    <w:p>
      <w:r>
        <w:pict>
          <v:rect style="width:0;height:1.5pt" o:hralign="center" o:hrstd="t" o:hr="t"/>
        </w:pict>
      </w:r>
    </w:p>
    <w:p>
      <w:pPr>
        <w:pStyle w:val="FirstParagraph"/>
      </w:pPr>
      <w:r>
        <w:rPr>
          <w:iCs/>
          <w:i/>
        </w:rPr>
        <w:t xml:space="preserve">This report is generated based on available data and industry standards, providing an estimate of the product\'s carbon footprint. All calculations are approximate and subject to data availability and methodology choices.</w:t>
      </w:r>
    </w:p>
    <w:p>
      <w:pPr>
        <w:pStyle w:val="BodyText"/>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yrdqyvonrl</dc:title>
  <dc:creator/>
  <dc:description>Detailed Product Carbon Footprint (PCF) analysis report for yrdqyvonrl by ymleppkkjx of gkdqorzzuk, adhering to GHG Protocol and 2026 LSR Update.</dc:description>
  <cp:keywords/>
  <dcterms:created xsi:type="dcterms:W3CDTF">2026-07-15T09:19:39Z</dcterms:created>
  <dcterms:modified xsi:type="dcterms:W3CDTF">2026-07-15T09:19:39Z</dcterms:modified>
</cp:coreProperties>
</file>

<file path=docProps/custom.xml><?xml version="1.0" encoding="utf-8"?>
<Properties xmlns="http://schemas.openxmlformats.org/officeDocument/2006/custom-properties" xmlns:vt="http://schemas.openxmlformats.org/officeDocument/2006/docPropsVTypes"/>
</file>