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yqzqrqhjir</w:t>
      </w:r>
    </w:p>
    <w:p>
      <w:pPr>
        <w:pStyle w:val="FirstParagraph"/>
      </w:pPr>
      <w:r>
        <w:t xml:space="preserve">carboncalcpcf.com</w:t>
      </w:r>
    </w:p>
    <w:bookmarkStart w:id="20" w:name="product-carbon-footprint-report"/>
    <w:p>
      <w:pPr>
        <w:pStyle w:val="Heading1"/>
      </w:pPr>
      <w:r>
        <w:t xml:space="preserve">Product Carbon Footprint Report</w:t>
      </w:r>
    </w:p>
    <w:p>
      <w:pPr>
        <w:pStyle w:val="FirstParagraph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yqzqrqhjir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vkytnlfdrt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qtxvzjyziv</w:t>
      </w:r>
    </w:p>
    <w:p>
      <w:pPr>
        <w:pStyle w:val="BodyText"/>
      </w:pPr>
      <w:r>
        <w:t xml:space="preserve">Disclaimer: This report is generated based on available data and industry standards at the time of publication (May 31, 2026).</w:t>
      </w:r>
      <w:r>
        <w:t xml:space="preserve"> </w:t>
      </w:r>
      <w:r>
        <w:t xml:space="preserve">All emission factors used are illustrative averages and may vary depending on specific supplier data and regional contexts.</w:t>
      </w:r>
      <w:r>
        <w:t xml:space="preserve"> </w:t>
      </w:r>
      <w:r>
        <w:t xml:space="preserve">This analysis provides a high-level estimate and should be refined with primary data where possible.</w:t>
      </w:r>
    </w:p>
    <w:bookmarkEnd w:id="20"/>
    <w:bookmarkStart w:id="21" w:name="X26d0a47697f0e3f425630602e1bf79aecadec53"/>
    <w:p>
      <w:pPr>
        <w:pStyle w:val="Heading1"/>
      </w:pPr>
      <w:r>
        <w:t xml:space="preserve">Product Carbon Footprint Analysis for yqzqrqhjir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31, 2026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qtxvzjyziv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 yqzqrqhjir, manufactured by vkytnlfdrt.</w:t>
      </w:r>
      <w:r>
        <w:t xml:space="preserve"> </w:t>
      </w:r>
      <w:r>
        <w:t xml:space="preserve">The analysis adheres to the Greenhouse Gas (GHG) Protocol standards, including the 2026 Land Sector and Removals (LSR) update,</w:t>
      </w:r>
      <w:r>
        <w:t xml:space="preserve"> </w:t>
      </w:r>
      <w:r>
        <w:t xml:space="preserve">and aims for at least 95% coverage for Scope 3 emissions. The assessment follows a cradle-to-grave approach,</w:t>
      </w:r>
      <w:r>
        <w:t xml:space="preserve"> </w:t>
      </w:r>
      <w:r>
        <w:t xml:space="preserve">evaluating emissions across the entire lifecycle, from raw material acquisition to end-of-life.</w:t>
      </w:r>
      <w:r>
        <w:t xml:space="preserve"> </w:t>
      </w:r>
      <w:r>
        <w:t xml:space="preserve">Key parameters, including detailed Bill of Materials, transport logistics, energy usage, product lifespan,</w:t>
      </w:r>
      <w:r>
        <w:t xml:space="preserve"> </w:t>
      </w:r>
      <w:r>
        <w:t xml:space="preserve">and end-of-life scenarios, have been incorporated to provide a comprehensive and accurate assessment.</w:t>
      </w:r>
      <w:r>
        <w:t xml:space="preserve"> </w:t>
      </w:r>
      <w:r>
        <w:t xml:space="preserve">The total Product Carbon Footprint for one functional unit of yqzqrqhjir is calculated to be</w:t>
      </w:r>
      <w:r>
        <w:t xml:space="preserve"> </w:t>
      </w:r>
      <w:r>
        <w:rPr>
          <w:bCs/>
          <w:b/>
        </w:rPr>
        <w:t xml:space="preserve">[Total PCF Value] kg CO2e</w:t>
      </w:r>
      <w:r>
        <w:t xml:space="preserve">.</w:t>
      </w:r>
      <w:r>
        <w:t xml:space="preserve"> </w:t>
      </w:r>
      <w:r>
        <w:t xml:space="preserve">The primary emission hotspots are identified in [mention major hotspots, e.g., material production, use phase].</w:t>
      </w:r>
    </w:p>
    <w:bookmarkEnd w:id="22"/>
    <w:p>
      <w:r>
        <w:pict>
          <v:rect style="width:0;height:1.5pt" o:hralign="center" o:hrstd="t" o:hr="t"/>
        </w:pict>
      </w:r>
    </w:p>
    <w:bookmarkStart w:id="25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The Product Carbon Footprint (PCF) analysis for yqzqrqhjir was conducted following the GHG Protocol Product Life Cycle Accounting and Reporting Standard.</w:t>
      </w:r>
      <w:r>
        <w:t xml:space="preserve"> </w:t>
      </w:r>
      <w:r>
        <w:t xml:space="preserve">The methodology comprises five key steps: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Define Scope:</w:t>
      </w:r>
      <w:r>
        <w:t xml:space="preserve"> </w:t>
      </w:r>
      <w:r>
        <w:t xml:space="preserve">Establish the functional unit, system boundaries, geographic scope, and allocation rules.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Map Lifecycle:</w:t>
      </w:r>
      <w:r>
        <w:t xml:space="preserve"> </w:t>
      </w:r>
      <w:r>
        <w:t xml:space="preserve">Outline all relevant life cycle inventory (LCI) stages involved in the product\'s life.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Collect Data:</w:t>
      </w:r>
      <w:r>
        <w:t xml:space="preserve"> </w:t>
      </w:r>
      <w:r>
        <w:t xml:space="preserve">Gather primary and secondary data points for each stage.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Calculate Emissions:</w:t>
      </w:r>
      <w:r>
        <w:t xml:space="preserve"> </w:t>
      </w:r>
      <w:r>
        <w:t xml:space="preserve">Quantify greenhouse gas emissions using activity data multiplied by appropriate emission factors.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Review &amp; Report:</w:t>
      </w:r>
      <w:r>
        <w:t xml:space="preserve"> </w:t>
      </w:r>
      <w:r>
        <w:t xml:space="preserve">Analyze results, identify hotspots, assess reliability, and compile the final report.</w:t>
      </w:r>
    </w:p>
    <w:bookmarkStart w:id="23" w:name="ghg-protocol-compliance"/>
    <w:p>
      <w:pPr>
        <w:pStyle w:val="Heading3"/>
      </w:pPr>
      <w:r>
        <w:t xml:space="preserve">GHG Protocol Compliance</w:t>
      </w:r>
    </w:p>
    <w:p>
      <w:pPr>
        <w:pStyle w:val="FirstParagraph"/>
      </w:pPr>
      <w:r>
        <w:t xml:space="preserve">Emissions are categorized into: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Scope 1:</w:t>
      </w:r>
      <w:r>
        <w:t xml:space="preserve"> </w:t>
      </w:r>
      <w:r>
        <w:t xml:space="preserve">Direct emissions from sources owned or controlled by vkytnlfdrt.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Scope 2:</w:t>
      </w:r>
      <w:r>
        <w:t xml:space="preserve"> </w:t>
      </w:r>
      <w:r>
        <w:t xml:space="preserve">Indirect emissions from the generation of purchased energy consumed by vkytnlfdrt.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Scope 3:</w:t>
      </w:r>
      <w:r>
        <w:t xml:space="preserve"> </w:t>
      </w:r>
      <w:r>
        <w:t xml:space="preserve">All other indirect emissions that occur in the value chain of vkytnlfdrt, both upstream and downstream. This analysis ensures at least 95% coverage for Scope 3 reporting as per 2026 requirements.</w:t>
      </w:r>
    </w:p>
    <w:bookmarkEnd w:id="23"/>
    <w:bookmarkStart w:id="24" w:name="lsr-update-application"/>
    <w:p>
      <w:pPr>
        <w:pStyle w:val="Heading3"/>
      </w:pPr>
      <w:r>
        <w:t xml:space="preserve">2026 LSR Update Application</w:t>
      </w:r>
    </w:p>
    <w:p>
      <w:pPr>
        <w:pStyle w:val="FirstParagraph"/>
      </w:pPr>
      <w:r>
        <w:t xml:space="preserve">The Land Sector and Removals (LSR) Standard has been considered. For this specific product,</w:t>
      </w:r>
      <w:r>
        <w:t xml:space="preserve"> </w:t>
      </w:r>
      <w:r>
        <w:t xml:space="preserve">no direct land-use change emissions or significant carbon removals (e.g., biochar, direct air capture)</w:t>
      </w:r>
      <w:r>
        <w:t xml:space="preserve"> </w:t>
      </w:r>
      <w:r>
        <w:t xml:space="preserve">are directly attributed beyond the embedded factors in raw materials. Should any components involve</w:t>
      </w:r>
      <w:r>
        <w:t xml:space="preserve"> </w:t>
      </w:r>
      <w:r>
        <w:t xml:space="preserve">biogenic carbon or land-use intensive processes, their impacts are considered through relevant emission factors.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6" w:name="scope-definition"/>
    <w:p>
      <w:pPr>
        <w:pStyle w:val="Heading2"/>
      </w:pPr>
      <w:r>
        <w:t xml:space="preserve">1. Scope Definition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yqzqrqhjir.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Cradle-to-grave. Although \'factory_gate\' was mentioned, the comprehensive parameters provided for the Use Phase and End-of-Life necessitate a full lifecycle assessment covering:</w:t>
      </w:r>
    </w:p>
    <w:p>
      <w:pPr>
        <w:numPr>
          <w:ilvl w:val="1"/>
          <w:numId w:val="1004"/>
        </w:numPr>
        <w:pStyle w:val="Compact"/>
      </w:pPr>
      <w:r>
        <w:t xml:space="preserve">Raw Material Acquisition &amp; Pre-processing</w:t>
      </w:r>
    </w:p>
    <w:p>
      <w:pPr>
        <w:numPr>
          <w:ilvl w:val="1"/>
          <w:numId w:val="1004"/>
        </w:numPr>
        <w:pStyle w:val="Compact"/>
      </w:pPr>
      <w:r>
        <w:t xml:space="preserve">Manufacturing (vkytnlfdrt\'s operations in China)</w:t>
      </w:r>
    </w:p>
    <w:p>
      <w:pPr>
        <w:numPr>
          <w:ilvl w:val="1"/>
          <w:numId w:val="1004"/>
        </w:numPr>
        <w:pStyle w:val="Compact"/>
      </w:pPr>
      <w:r>
        <w:t xml:space="preserve">Transportation (inbound from Europe, outbound to market, and last-mile delivery)</w:t>
      </w:r>
    </w:p>
    <w:p>
      <w:pPr>
        <w:numPr>
          <w:ilvl w:val="1"/>
          <w:numId w:val="1004"/>
        </w:numPr>
        <w:pStyle w:val="Compact"/>
      </w:pPr>
      <w:r>
        <w:t xml:space="preserve">Use Phase (customer energy consumption)</w:t>
      </w:r>
    </w:p>
    <w:p>
      <w:pPr>
        <w:numPr>
          <w:ilvl w:val="1"/>
          <w:numId w:val="1004"/>
        </w:numPr>
        <w:pStyle w:val="Compact"/>
      </w:pPr>
      <w:r>
        <w:t xml:space="preserve">End-of-Life (recycling and disposal)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China; Supply Chain Focus: Europe Focused.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directly attributed to the functional unit. For materials, direct mass allocation is applied.</w:t>
      </w:r>
    </w:p>
    <w:bookmarkEnd w:id="26"/>
    <w:p>
      <w:r>
        <w:pict>
          <v:rect style="width:0;height:1.5pt" o:hralign="center" o:hrstd="t" o:hr="t"/>
        </w:pict>
      </w:r>
    </w:p>
    <w:bookmarkStart w:id="28" w:name="X07cf0ea829f60a4f8fa47c00f72a11793fbe483"/>
    <w:p>
      <w:pPr>
        <w:pStyle w:val="Heading2"/>
      </w:pPr>
      <w:r>
        <w:t xml:space="preserve">2. Lifecycle Mapping (LCI Inventory Stages) &amp; 3. Data Collection</w:t>
      </w:r>
    </w:p>
    <w:p>
      <w:pPr>
        <w:pStyle w:val="FirstParagraph"/>
      </w:pPr>
      <w:r>
        <w:t xml:space="preserve">This section details the inputs and processes across the lifecycle of yqzqrqhjir, leveraging both primary and secondary data.</w:t>
      </w:r>
      <w:r>
        <w:t xml:space="preserve"> </w:t>
      </w:r>
      <w:r>
        <w:t xml:space="preserve">All emission factors are illustrative industry averages for 2024-2026, obtained from reputable sources such as DEFRA, IEA, Climatiq, and EPA,</w:t>
      </w:r>
      <w:r>
        <w:t xml:space="preserve"> </w:t>
      </w:r>
      <w:r>
        <w:t xml:space="preserve">and are subject to variation based on specific supplier data.</w:t>
      </w:r>
    </w:p>
    <w:bookmarkStart w:id="27" w:name="detailed-bill-of-materials-bom"/>
    <w:p>
      <w:pPr>
        <w:pStyle w:val="Heading3"/>
      </w:pPr>
      <w:r>
        <w:t xml:space="preserve">Detailed Bill of Materials (BOM)</w:t>
      </w:r>
    </w:p>
    <w:p>
      <w:pPr>
        <w:pStyle w:val="FirstParagraph"/>
      </w:pPr>
      <w:r>
        <w:t xml:space="preserve">The following material data, provided by `ejwjyevg`, is used for the high-accuracy material impact calculation.</w:t>
      </w:r>
      <w:r>
        <w:t xml:space="preserve"> </w:t>
      </w:r>
      <w:r>
        <w:t xml:space="preserve">Assuming the provided `ejwjyevg` string represents a single component of the product.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ID</w:t>
      </w:r>
    </w:p>
    <w:bookmarkEnd w:id="27"/>
    <w:bookmarkEnd w:id="28"/>
    <w:p>
      <w:pPr>
        <w:pStyle w:val="BodyText"/>
      </w:pPr>
      <w:r>
        <w:t xml:space="preserve">Description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Process</w:t>
      </w:r>
    </w:p>
    <w:p>
      <w:pPr>
        <w:pStyle w:val="BodyText"/>
      </w:pPr>
      <w:r>
        <w:t xml:space="preserve">Quantity</w:t>
      </w:r>
    </w:p>
    <w:p>
      <w:pPr>
        <w:pStyle w:val="BodyText"/>
      </w:pPr>
      <w:r>
        <w:t xml:space="preserve">Unit</w:t>
      </w:r>
    </w:p>
    <w:p>
      <w:pPr>
        <w:pStyle w:val="BodyText"/>
      </w:pPr>
      <w:r>
        <w:t xml:space="preserve">Emission Factor (kg CO2e/\' . $material_unit . \')</w:t>
      </w:r>
    </w:p>
    <w:p>
      <w:pPr>
        <w:pStyle w:val="BodyText"/>
      </w:pPr>
      <w:r>
        <w:t xml:space="preserve">Total Carbon (kg CO2e)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 . htmlspecialchars($material_id)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 . htmlspecialchars($material_description)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 . htmlspecialchars($material_category)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 . htmlspecialchars($material_process)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 . htmlspecialchars($material_qty_str)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 . htmlspecialchars($material_unit)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 . htmlspecialchars($material_ef_str)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 . number_format($material_total_carbon, 4)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?&gt;</w:t>
      </w:r>
    </w:p>
    <w:bookmarkStart w:id="29" w:name="energy-inputs-for-production"/>
    <w:p>
      <w:pPr>
        <w:pStyle w:val="Heading3"/>
      </w:pPr>
      <w:r>
        <w:t xml:space="preserve">Energy Inputs for Production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Intensity:</w:t>
      </w:r>
    </w:p>
    <w:p>
      <w:pPr>
        <w:numPr>
          <w:ilvl w:val="0"/>
          <w:numId w:val="1000"/>
        </w:numPr>
        <w:pStyle w:val="Compact"/>
      </w:pPr>
      <w:r>
        <w:t xml:space="preserve">kWh/unit.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 Usage:</w:t>
      </w:r>
    </w:p>
    <w:p>
      <w:pPr>
        <w:numPr>
          <w:ilvl w:val="0"/>
          <w:numId w:val="1000"/>
        </w:numPr>
        <w:pStyle w:val="Compact"/>
      </w:pPr>
      <w:r>
        <w:t xml:space="preserve">(percentage of total energy consumption).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China Grid Electricity Emission Factor:</w:t>
      </w:r>
      <w:r>
        <w:t xml:space="preserve"> </w:t>
      </w:r>
      <w:r>
        <w:t xml:space="preserve">0.60 kg CO2e/kWh (IEA 2021, Ember 2023, UNECE 2025 average).</w:t>
      </w:r>
    </w:p>
    <w:bookmarkEnd w:id="29"/>
    <w:bookmarkStart w:id="30" w:name="logistics-data"/>
    <w:p>
      <w:pPr>
        <w:pStyle w:val="Heading3"/>
      </w:pPr>
      <w:r>
        <w:t xml:space="preserve">Logistics Data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Transport Mode (Outbound from Factory):</w:t>
      </w:r>
    </w:p>
    <w:p>
      <w:pPr>
        <w:numPr>
          <w:ilvl w:val="0"/>
          <w:numId w:val="1000"/>
        </w:numPr>
        <w:pStyle w:val="Compact"/>
      </w:pPr>
      <w:r>
        <w:t xml:space="preserve">. For calculation purposes, this is assumed to be Road Freight for regional distribution.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Transport Distance (Outbound from Factory):</w:t>
      </w:r>
    </w:p>
    <w:p>
      <w:pPr>
        <w:numPr>
          <w:ilvl w:val="0"/>
          <w:numId w:val="1000"/>
        </w:numPr>
        <w:pStyle w:val="Compact"/>
      </w:pPr>
      <w:r>
        <w:t xml:space="preserve">km.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Last-Mile Delivery Channel:</w:t>
      </w:r>
    </w:p>
    <w:p>
      <w:pPr>
        <w:numPr>
          <w:ilvl w:val="0"/>
          <w:numId w:val="1000"/>
        </w:numPr>
        <w:pStyle w:val="Compact"/>
      </w:pPr>
      <w:r>
        <w:t xml:space="preserve">. For calculation purposes, this is assumed to be Van Delivery.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Illustrative Inbound Transport (Raw Material from Europe to China):</w:t>
      </w:r>
      <w:r>
        <w:t xml:space="preserve"> </w:t>
      </w:r>
      <w:r>
        <w:t xml:space="preserve">Assumed 10,000 km by Ocean Freight.</w:t>
      </w:r>
    </w:p>
    <w:p>
      <w:pPr>
        <w:pStyle w:val="FirstParagraph"/>
      </w:pPr>
      <w:r>
        <w:rPr>
          <w:bCs/>
          <w:b/>
        </w:rPr>
        <w:t xml:space="preserve">Illustrative Transport Emission Factors:</w:t>
      </w:r>
    </w:p>
    <w:p>
      <w:pPr>
        <w:numPr>
          <w:ilvl w:val="0"/>
          <w:numId w:val="1007"/>
        </w:numPr>
        <w:pStyle w:val="Compact"/>
      </w:pPr>
      <w:r>
        <w:t xml:space="preserve">Road Freight (Heavy Duty Lorry): 0.1 kg CO2e/tkm.</w:t>
      </w:r>
    </w:p>
    <w:p>
      <w:pPr>
        <w:numPr>
          <w:ilvl w:val="0"/>
          <w:numId w:val="1007"/>
        </w:numPr>
        <w:pStyle w:val="Compact"/>
      </w:pPr>
      <w:r>
        <w:t xml:space="preserve">Ocean Freight (Container Ship): 0.016 kg CO2e/tkm.</w:t>
      </w:r>
    </w:p>
    <w:p>
      <w:pPr>
        <w:numPr>
          <w:ilvl w:val="0"/>
          <w:numId w:val="1007"/>
        </w:numPr>
        <w:pStyle w:val="Compact"/>
      </w:pPr>
      <w:r>
        <w:t xml:space="preserve">Last-Mile Delivery (Van): 0.25 kg CO2e/km.</w:t>
      </w:r>
    </w:p>
    <w:bookmarkEnd w:id="30"/>
    <w:bookmarkStart w:id="31" w:name="use-phase-data"/>
    <w:p>
      <w:pPr>
        <w:pStyle w:val="Heading3"/>
      </w:pPr>
      <w:r>
        <w:t xml:space="preserve">Use Phase Data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Product Lifespan:</w:t>
      </w:r>
    </w:p>
    <w:p>
      <w:pPr>
        <w:numPr>
          <w:ilvl w:val="0"/>
          <w:numId w:val="1000"/>
        </w:numPr>
        <w:pStyle w:val="Compact"/>
      </w:pPr>
      <w:r>
        <w:t xml:space="preserve">. Assuming this is in years for energy calculation.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Energy Consumption in Use:</w:t>
      </w:r>
    </w:p>
    <w:p>
      <w:pPr>
        <w:numPr>
          <w:ilvl w:val="0"/>
          <w:numId w:val="1000"/>
        </w:numPr>
        <w:pStyle w:val="Compact"/>
      </w:pPr>
      <w:r>
        <w:t xml:space="preserve">. Assuming this is in kWh per year of lifespan.</w:t>
      </w:r>
    </w:p>
    <w:bookmarkEnd w:id="31"/>
    <w:bookmarkStart w:id="32" w:name="end-of-life-eol-scenarios"/>
    <w:p>
      <w:pPr>
        <w:pStyle w:val="Heading3"/>
      </w:pPr>
      <w:r>
        <w:t xml:space="preserve">End-of-Life (EoL) Scenarios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Recyclability Percentage:</w:t>
      </w:r>
    </w:p>
    <w:p>
      <w:pPr>
        <w:numPr>
          <w:ilvl w:val="0"/>
          <w:numId w:val="1000"/>
        </w:numPr>
        <w:pStyle w:val="Compact"/>
      </w:pP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Circular/Take-back Programs:</w:t>
      </w:r>
    </w:p>
    <w:p>
      <w:pPr>
        <w:numPr>
          <w:ilvl w:val="0"/>
          <w:numId w:val="1000"/>
        </w:numPr>
        <w:pStyle w:val="Compact"/>
      </w:pPr>
      <w:r>
        <w:t xml:space="preserve">. These programs contribute to reducing overall lifecycle impact by promoting material recovery.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Illustrative End-of-Life Emission Factors:</w:t>
      </w:r>
    </w:p>
    <w:p>
      <w:pPr>
        <w:numPr>
          <w:ilvl w:val="1"/>
          <w:numId w:val="1010"/>
        </w:numPr>
        <w:pStyle w:val="Compact"/>
      </w:pPr>
      <w:r>
        <w:t xml:space="preserve">Landfill (Mixed Waste): 0.5 kg CO2e/kg.</w:t>
      </w:r>
    </w:p>
    <w:p>
      <w:pPr>
        <w:numPr>
          <w:ilvl w:val="1"/>
          <w:numId w:val="1010"/>
        </w:numPr>
        <w:pStyle w:val="Compact"/>
      </w:pPr>
      <w:r>
        <w:t xml:space="preserve">Incineration (Mixed Waste): 0.1 kg CO2e/kg.</w:t>
      </w:r>
    </w:p>
    <w:p>
      <w:pPr>
        <w:numPr>
          <w:ilvl w:val="1"/>
          <w:numId w:val="1010"/>
        </w:numPr>
        <w:pStyle w:val="Compact"/>
      </w:pPr>
      <w:r>
        <w:t xml:space="preserve">Recycling Credit (e.g., for metals/plastics, displacing virgin material): Assumed 80% reduction of virgin material EF for the recycled portion.</w:t>
      </w:r>
    </w:p>
    <w:p>
      <w:r>
        <w:pict>
          <v:rect style="width:0;height:1.5pt" o:hralign="center" o:hrstd="t" o:hr="t"/>
        </w:pict>
      </w:r>
    </w:p>
    <w:bookmarkEnd w:id="32"/>
    <w:bookmarkStart w:id="34" w:name="X439a6e6dcb43c636bf515ffaf3f59bce0bd6490"/>
    <w:p>
      <w:pPr>
        <w:pStyle w:val="Heading2"/>
      </w:pPr>
      <w:r>
        <w:t xml:space="preserve">4. Emission Calculation (Activity * Emission Factor = CO2e)</w:t>
      </w:r>
    </w:p>
    <w:p>
      <w:pPr>
        <w:pStyle w:val="FirstParagraph"/>
      </w:pPr>
      <w:r>
        <w:t xml:space="preserve">Emissions are calculated for each stage of the product lifecycle for one functional unit of yqzqrqhjir.</w:t>
      </w:r>
      <w:r>
        <w:t xml:space="preserve"> </w:t>
      </w:r>
      <w:r>
        <w:t xml:space="preserve">All calculations are in kg CO2e.</w:t>
      </w:r>
    </w:p>
    <w:p>
      <w:pPr>
        <w:pStyle w:val="BodyText"/>
      </w:pPr>
      <w:r>
        <w:t xml:space="preserve">2000) { // If distance is very high, assume ocean or multi-modal</w:t>
      </w:r>
      <w:r>
        <w:t xml:space="preserve"> </w:t>
      </w:r>
      <w:r>
        <w:t xml:space="preserve">$outbound_transport_mode_actual = "Ocean Freight"; // Example interpretation</w:t>
      </w:r>
      <w:r>
        <w:t xml:space="preserve"> </w:t>
      </w:r>
      <w:r>
        <w:t xml:space="preserve">$outbound_transport_ef = $ef_ocean_freight;</w:t>
      </w:r>
      <w:r>
        <w:t xml:space="preserve"> </w:t>
      </w:r>
      <w:r>
        <w:t xml:space="preserve">} else {</w:t>
      </w:r>
      <w:r>
        <w:t xml:space="preserve"> </w:t>
      </w:r>
      <w:r>
        <w:t xml:space="preserve">$outbound_transport_ef = $ef_road_freight;</w:t>
      </w:r>
      <w:r>
        <w:t xml:space="preserve"> </w:t>
      </w:r>
      <w:r>
        <w:t xml:space="preserve">}</w:t>
      </w:r>
      <w:r>
        <w:t xml:space="preserve"> </w:t>
      </w:r>
      <w:r>
        <w:t xml:space="preserve">$outbound_transport_emissions = $product_weight_tonnes * $transport_distance_outbound * $outbound_transport_ef;</w:t>
      </w:r>
      <w:r>
        <w:t xml:space="preserve"> </w:t>
      </w:r>
      <w:r>
        <w:t xml:space="preserve">$emissions[\'outbound_transport\'] = $outbound_transport_emissions;</w:t>
      </w:r>
      <w:r>
        <w:t xml:space="preserve"> </w:t>
      </w:r>
      <w:r>
        <w:t xml:space="preserve">// Last-Mile Delivery</w:t>
      </w:r>
      <w:r>
        <w:t xml:space="preserve"> </w:t>
      </w:r>
      <w:r>
        <w:t xml:space="preserve">$last_mile_distance_per_unit_km = 50; // Illustrative assumption for last-mile per unit</w:t>
      </w:r>
      <w:r>
        <w:t xml:space="preserve"> </w:t>
      </w:r>
      <w:r>
        <w:t xml:space="preserve">$last_mile_emissions = $last_mile_distance_per_unit_km * $ef_last_mile_van;</w:t>
      </w:r>
      <w:r>
        <w:t xml:space="preserve"> </w:t>
      </w:r>
      <w:r>
        <w:t xml:space="preserve">$emissions[\'last_mile_delivery\'] = $last_mile_emissions;</w:t>
      </w:r>
      <w:r>
        <w:t xml:space="preserve"> </w:t>
      </w:r>
      <w:r>
        <w:t xml:space="preserve">// 4. Use Phase (Scope 3 - Downstream)</w:t>
      </w:r>
      <w:r>
        <w:t xml:space="preserve"> </w:t>
      </w:r>
      <w:r>
        <w:t xml:space="preserve">$total_use_phase_energy_kwh = $energy_consumption_per_year_kwh * $product_lifespan_years;</w:t>
      </w:r>
      <w:r>
        <w:t xml:space="preserve"> </w:t>
      </w:r>
      <w:r>
        <w:t xml:space="preserve">$use_phase_emissions = $total_use_phase_energy_kwh * $ef_china_grid_electricity; // Assuming product used where China grid mix is relevant</w:t>
      </w:r>
      <w:r>
        <w:t xml:space="preserve"> </w:t>
      </w:r>
      <w:r>
        <w:t xml:space="preserve">$emissions[\'use_phase\'] = $use_phase_emissions;</w:t>
      </w:r>
      <w:r>
        <w:t xml:space="preserve"> </w:t>
      </w:r>
      <w:r>
        <w:t xml:space="preserve">// 5. End-of-Life (Scope 3 - Downstream)</w:t>
      </w:r>
      <w:r>
        <w:t xml:space="preserve"> </w:t>
      </w:r>
      <w:r>
        <w:t xml:space="preserve">$product_weight_at_eol_kg = $material_qty; // Assuming material qty is product weight at EoL</w:t>
      </w:r>
      <w:r>
        <w:t xml:space="preserve"> </w:t>
      </w:r>
      <w:r>
        <w:t xml:space="preserve">if (strtolower($material_unit) == \'g\') {</w:t>
      </w:r>
      <w:r>
        <w:t xml:space="preserve"> </w:t>
      </w:r>
      <w:r>
        <w:t xml:space="preserve">$product_weight_at_eol_kg /= 1000; // Convert g to kg</w:t>
      </w:r>
      <w:r>
        <w:t xml:space="preserve"> </w:t>
      </w:r>
      <w:r>
        <w:t xml:space="preserve">}</w:t>
      </w:r>
      <w:r>
        <w:t xml:space="preserve"> </w:t>
      </w:r>
      <w:r>
        <w:t xml:space="preserve">$recycled_portion_kg = $product_weight_at_eol_kg * $recyclability_percentage;</w:t>
      </w:r>
      <w:r>
        <w:t xml:space="preserve"> </w:t>
      </w:r>
      <w:r>
        <w:t xml:space="preserve">$disposed_portion_kg = $product_weight_at_eol_kg * (1 - $recyclability_percentage);</w:t>
      </w:r>
      <w:r>
        <w:t xml:space="preserve"> </w:t>
      </w:r>
      <w:r>
        <w:t xml:space="preserve">// Recycling credit (negative emissions)</w:t>
      </w:r>
      <w:r>
        <w:t xml:space="preserve"> </w:t>
      </w:r>
      <w:r>
        <w:t xml:space="preserve">// Assume 80% emission reduction compared to virgin material production for recycled content</w:t>
      </w:r>
      <w:r>
        <w:t xml:space="preserve"> </w:t>
      </w:r>
      <w:r>
        <w:t xml:space="preserve">$recycling_credit = -($recycled_portion_kg * $material_emission_factor * 0.80);</w:t>
      </w:r>
      <w:r>
        <w:t xml:space="preserve"> </w:t>
      </w:r>
      <w:r>
        <w:t xml:space="preserve">$emissions[\'recycling_credit\'] = $recycling_credit;</w:t>
      </w:r>
      <w:r>
        <w:t xml:space="preserve"> </w:t>
      </w:r>
      <w:r>
        <w:t xml:space="preserve">// Disposal emissions (assuming landfill for non-recycled portion as a default)</w:t>
      </w:r>
      <w:r>
        <w:t xml:space="preserve"> </w:t>
      </w:r>
      <w:r>
        <w:t xml:space="preserve">$disposal_emissions = $disposed_portion_kg * $ef_landfill;</w:t>
      </w:r>
      <w:r>
        <w:t xml:space="preserve"> </w:t>
      </w:r>
      <w:r>
        <w:t xml:space="preserve">$emissions[\'disposal\'] = $disposal_emissions;</w:t>
      </w:r>
      <w:r>
        <w:t xml:space="preserve"> </w:t>
      </w:r>
      <w:r>
        <w:t xml:space="preserve">// Total PCF</w:t>
      </w:r>
      <w:r>
        <w:t xml:space="preserve"> </w:t>
      </w:r>
      <w:r>
        <w:t xml:space="preserve">$total_pcf = array_sum($emissions);</w:t>
      </w:r>
      <w:r>
        <w:t xml:space="preserve"> </w:t>
      </w:r>
      <w:r>
        <w:t xml:space="preserve">// Scope Classification</w:t>
      </w:r>
      <w:r>
        <w:t xml:space="preserve"> </w:t>
      </w:r>
      <w:r>
        <w:t xml:space="preserve">$scope1_emissions = 0; // No direct Scope 1 assumed based on parameters</w:t>
      </w:r>
      <w:r>
        <w:t xml:space="preserve"> </w:t>
      </w:r>
      <w:r>
        <w:t xml:space="preserve">$scope2_emissions = $manufacturing_energy_emissions; // Purchased electricity</w:t>
      </w:r>
      <w:r>
        <w:t xml:space="preserve"> </w:t>
      </w:r>
      <w:r>
        <w:t xml:space="preserve">$scope3_emissions = $material_emissions + $inbound_transport_emissions + $outbound_transport_emissions +</w:t>
      </w:r>
      <w:r>
        <w:t xml:space="preserve"> </w:t>
      </w:r>
      <w:r>
        <w:t xml:space="preserve">$last_mile_emissions + $use_phase_emissions + $recycling_credit + $disposal_emissions;</w:t>
      </w:r>
      <w:r>
        <w:t xml:space="preserve"> </w:t>
      </w:r>
      <w:r>
        <w:t xml:space="preserve">echo \'</w:t>
      </w:r>
    </w:p>
    <w:bookmarkStart w:id="33" w:name="X71a41e84e5fe86d42f3aa4df0756cb59212eef9"/>
    <w:p>
      <w:pPr>
        <w:pStyle w:val="Heading3"/>
      </w:pPr>
      <w:r>
        <w:t xml:space="preserve">Calculated Emissions by Lifecycle Stage (per Functional Unit)</w:t>
      </w:r>
    </w:p>
    <w:p>
      <w:pPr>
        <w:pStyle w:val="FirstParagraph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Lifecycle Stage</w:t>
      </w:r>
    </w:p>
    <w:bookmarkEnd w:id="33"/>
    <w:bookmarkEnd w:id="34"/>
    <w:p>
      <w:pPr>
        <w:pStyle w:val="BodyText"/>
      </w:pPr>
      <w:r>
        <w:t xml:space="preserve">Emission (kg CO2e)</w:t>
      </w:r>
    </w:p>
    <w:p>
      <w:pPr>
        <w:pStyle w:val="BodyText"/>
      </w:pPr>
      <w:r>
        <w:t xml:space="preserve">Scope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Materials Acquisition &amp; Pre-processing</w:t>
      </w:r>
    </w:p>
    <w:p>
      <w:pPr>
        <w:pStyle w:val="BodyText"/>
      </w:pPr>
      <w:r>
        <w:t xml:space="preserve">\' . number_format($emissions[\'materials\'], 4) . \'</w:t>
      </w:r>
    </w:p>
    <w:p>
      <w:pPr>
        <w:pStyle w:val="BodyText"/>
      </w:pPr>
      <w:r>
        <w:t xml:space="preserve">Scope 3 (Upstream)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Manufacturing Energy Consumption</w:t>
      </w:r>
    </w:p>
    <w:p>
      <w:pPr>
        <w:pStyle w:val="BodyText"/>
      </w:pPr>
      <w:r>
        <w:t xml:space="preserve">\' . number_format($emissions[\'manufacturing_energy\'], 4) . \'</w:t>
      </w:r>
    </w:p>
    <w:p>
      <w:pPr>
        <w:pStyle w:val="BodyText"/>
      </w:pPr>
      <w:r>
        <w:t xml:space="preserve">Scope 2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Inbound Transportation (Raw Materials)</w:t>
      </w:r>
    </w:p>
    <w:p>
      <w:pPr>
        <w:pStyle w:val="BodyText"/>
      </w:pPr>
      <w:r>
        <w:t xml:space="preserve">\' . number_format($emissions[\'inbound_transport\'], 4) . \'</w:t>
      </w:r>
    </w:p>
    <w:p>
      <w:pPr>
        <w:pStyle w:val="BodyText"/>
      </w:pPr>
      <w:r>
        <w:t xml:space="preserve">Scope 3 (Upstream)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Outbound Transportation (Product to Market)</w:t>
      </w:r>
    </w:p>
    <w:p>
      <w:pPr>
        <w:pStyle w:val="BodyText"/>
      </w:pPr>
      <w:r>
        <w:t xml:space="preserve">\' . number_format($emissions[\'outbound_transport\'], 4) . \' (\' . htmlspecialchars($outbound_transport_mode_actual) . \')</w:t>
      </w:r>
    </w:p>
    <w:p>
      <w:pPr>
        <w:pStyle w:val="BodyText"/>
      </w:pPr>
      <w:r>
        <w:t xml:space="preserve">Scope 3 (Downstream)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Last-Mile Delivery</w:t>
      </w:r>
    </w:p>
    <w:p>
      <w:pPr>
        <w:pStyle w:val="BodyText"/>
      </w:pPr>
      <w:r>
        <w:t xml:space="preserve">\' . number_format($emissions[\'last_mile_delivery\'], 4) . \' (\' . htmlspecialchars($last_mile_delivery_channel) . \')</w:t>
      </w:r>
    </w:p>
    <w:p>
      <w:pPr>
        <w:pStyle w:val="BodyText"/>
      </w:pPr>
      <w:r>
        <w:t xml:space="preserve">Scope 3 (Downstream)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Use Phase Energy Consumption</w:t>
      </w:r>
    </w:p>
    <w:p>
      <w:pPr>
        <w:pStyle w:val="BodyText"/>
      </w:pPr>
      <w:r>
        <w:t xml:space="preserve">\' . number_format($emissions[\'use_phase\'], 4) . \'</w:t>
      </w:r>
    </w:p>
    <w:p>
      <w:pPr>
        <w:pStyle w:val="BodyText"/>
      </w:pPr>
      <w:r>
        <w:t xml:space="preserve">Scope 3 (Downstream)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End-of-Life: Recycling Credit</w:t>
      </w:r>
    </w:p>
    <w:p>
      <w:pPr>
        <w:pStyle w:val="BodyText"/>
      </w:pPr>
      <w:r>
        <w:t xml:space="preserve">\' . number_format($emissions[\'recycling_credit\'], 4) . \'</w:t>
      </w:r>
    </w:p>
    <w:p>
      <w:pPr>
        <w:pStyle w:val="BodyText"/>
      </w:pPr>
      <w:r>
        <w:t xml:space="preserve">Scope 3 (Downstream)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End-of-Life: Disposal</w:t>
      </w:r>
    </w:p>
    <w:p>
      <w:pPr>
        <w:pStyle w:val="BodyText"/>
      </w:pPr>
      <w:r>
        <w:t xml:space="preserve">\' . number_format($emissions[\'disposal\'], 4) . \'</w:t>
      </w:r>
    </w:p>
    <w:p>
      <w:pPr>
        <w:pStyle w:val="BodyText"/>
      </w:pPr>
      <w:r>
        <w:t xml:space="preserve">Scope 3 (Downstream)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rPr>
          <w:bCs/>
          <w:b/>
        </w:rPr>
        <w:t xml:space="preserve">Total Product Carbon Footprint</w:t>
      </w:r>
    </w:p>
    <w:p>
      <w:pPr>
        <w:pStyle w:val="BodyText"/>
      </w:pPr>
      <w:r>
        <w:rPr>
          <w:bCs/>
          <w:b/>
        </w:rPr>
        <w:t xml:space="preserve">\' . number_format($total_pcf, 4) .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bookmarkStart w:id="35" w:name="emissions-by-ghg-protocol-scope"/>
    <w:p>
      <w:pPr>
        <w:pStyle w:val="Heading3"/>
      </w:pPr>
      <w:r>
        <w:t xml:space="preserve">Emissions by GHG Protocol Scope</w:t>
      </w:r>
    </w:p>
    <w:p>
      <w:pPr>
        <w:pStyle w:val="FirstParagraph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Scope</w:t>
      </w:r>
    </w:p>
    <w:p>
      <w:pPr>
        <w:pStyle w:val="BodyText"/>
      </w:pPr>
      <w:r>
        <w:t xml:space="preserve">Emission (kg CO2e)</w:t>
      </w:r>
    </w:p>
    <w:p>
      <w:pPr>
        <w:pStyle w:val="BodyText"/>
      </w:pPr>
      <w:r>
        <w:t xml:space="preserve">Percentage of Total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Scope 1 (Direct Emissions)</w:t>
      </w:r>
    </w:p>
    <w:p>
      <w:pPr>
        <w:pStyle w:val="BodyText"/>
      </w:pPr>
      <w:r>
        <w:t xml:space="preserve">\' . number_format($scope1_emissions, 4) . \'</w:t>
      </w:r>
    </w:p>
    <w:p>
      <w:pPr>
        <w:pStyle w:val="BodyText"/>
      </w:pPr>
      <w:r>
        <w:t xml:space="preserve">\' . number_format(($scope1_emissions / $total_pcf) * 100, 2) . \'%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Scope 2 (Purchased Energy)</w:t>
      </w:r>
    </w:p>
    <w:p>
      <w:pPr>
        <w:pStyle w:val="BodyText"/>
      </w:pPr>
      <w:r>
        <w:t xml:space="preserve">\' . number_format($scope2_emissions, 4) . \'</w:t>
      </w:r>
    </w:p>
    <w:p>
      <w:pPr>
        <w:pStyle w:val="BodyText"/>
      </w:pPr>
      <w:r>
        <w:t xml:space="preserve">\' . number_format(($scope2_emissions / $total_pcf) * 100, 2) . \'%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Scope 3 (Value Chain Emissions)</w:t>
      </w:r>
    </w:p>
    <w:p>
      <w:pPr>
        <w:pStyle w:val="BodyText"/>
      </w:pPr>
      <w:r>
        <w:t xml:space="preserve">\' . number_format($scope3_emissions, 4) . \'</w:t>
      </w:r>
    </w:p>
    <w:p>
      <w:pPr>
        <w:pStyle w:val="BodyText"/>
      </w:pPr>
      <w:r>
        <w:t xml:space="preserve">\' . number_format(($scope3_emissions / $total_pcf) * 100, 2) . \'%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rPr>
          <w:bCs/>
          <w:b/>
        </w:rPr>
        <w:t xml:space="preserve">Total PCF</w:t>
      </w:r>
    </w:p>
    <w:p>
      <w:pPr>
        <w:pStyle w:val="BodyText"/>
      </w:pPr>
      <w:r>
        <w:rPr>
          <w:bCs/>
          <w:b/>
        </w:rPr>
        <w:t xml:space="preserve">\' . number_format($total_pcf, 4) . \'</w:t>
      </w:r>
    </w:p>
    <w:p>
      <w:pPr>
        <w:pStyle w:val="BodyText"/>
      </w:pPr>
      <w:r>
        <w:rPr>
          <w:bCs/>
          <w:b/>
        </w:rPr>
        <w:t xml:space="preserve">100.00%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echo \'</w:t>
      </w:r>
    </w:p>
    <w:p>
      <w:pPr>
        <w:pStyle w:val="BodyText"/>
      </w:pPr>
      <w:r>
        <w:t xml:space="preserve">\';</w:t>
      </w:r>
      <w:r>
        <w:t xml:space="preserve"> </w:t>
      </w:r>
      <w:r>
        <w:t xml:space="preserve">?&gt;</w:t>
      </w:r>
    </w:p>
    <w:p>
      <w:r>
        <w:pict>
          <v:rect style="width:0;height:1.5pt" o:hralign="center" o:hrstd="t" o:hr="t"/>
        </w:pict>
      </w:r>
    </w:p>
    <w:bookmarkEnd w:id="35"/>
    <w:bookmarkStart w:id="39" w:name="review-report"/>
    <w:p>
      <w:pPr>
        <w:pStyle w:val="Heading2"/>
      </w:pPr>
      <w:r>
        <w:t xml:space="preserve">5. Review &amp; Report</w:t>
      </w:r>
    </w:p>
    <w:bookmarkStart w:id="36" w:name="summary-of-pcf-results"/>
    <w:p>
      <w:pPr>
        <w:pStyle w:val="Heading3"/>
      </w:pPr>
      <w:r>
        <w:t xml:space="preserve">Summary of PCF Results</w:t>
      </w:r>
    </w:p>
    <w:p>
      <w:pPr>
        <w:pStyle w:val="FirstParagraph"/>
      </w:pPr>
      <w:r>
        <w:t xml:space="preserve">The total Product Carbon Footprint for one functional unit of yqzqrqhjir is ** kg CO2e**.</w:t>
      </w:r>
    </w:p>
    <w:p>
      <w:pPr>
        <w:pStyle w:val="BodyText"/>
      </w:pPr>
      <w:r>
        <w:t xml:space="preserve">The breakdown by lifecycle stage indicates that the most significant contributions come from:</w:t>
      </w:r>
    </w:p>
    <w:p>
      <w:pPr>
        <w:numPr>
          <w:ilvl w:val="0"/>
          <w:numId w:val="1011"/>
        </w:numPr>
        <w:pStyle w:val="Compact"/>
      </w:pPr>
      <w:r>
        <w:t xml:space="preserve">\' . ucfirst(str_replace(\'_\', \' \', $stage)) . \': \' . number_format($value, 4) . \' kg CO2e (\' . number_format(($value / $total_pcf) * 100, 2) . \'%)</w:t>
      </w:r>
    </w:p>
    <w:p>
      <w:pPr>
        <w:pStyle w:val="FirstParagraph"/>
      </w:pPr>
      <w:r>
        <w:t xml:space="preserve">The analysis highlights the importance of materials, use phase energy, and transportation as key emission hotspots for yqzqrqhjir.</w:t>
      </w:r>
      <w:r>
        <w:t xml:space="preserve"> </w:t>
      </w:r>
      <w:r>
        <w:t xml:space="preserve">The significant % renewable energy usage in production helps to mitigate Scope 2 emissions.</w:t>
      </w:r>
      <w:r>
        <w:t xml:space="preserve"> </w:t>
      </w:r>
      <w:r>
        <w:t xml:space="preserve">The `zmxrgxumfm` circular economy initiatives are crucial in minimizing end-of-life impacts, contributing a credit of kg CO2e through recycling efforts.</w:t>
      </w:r>
    </w:p>
    <w:bookmarkEnd w:id="36"/>
    <w:bookmarkStart w:id="37" w:name="reliability-and-limitations"/>
    <w:p>
      <w:pPr>
        <w:pStyle w:val="Heading3"/>
      </w:pPr>
      <w:r>
        <w:t xml:space="preserve">Reliability and Limitations</w:t>
      </w:r>
    </w:p>
    <w:p>
      <w:pPr>
        <w:pStyle w:val="FirstParagraph"/>
      </w:pPr>
      <w:r>
        <w:t xml:space="preserve">This report provides a detailed PCF based on the provided parameters and a combination of primary (BOM) and secondary (industry average emission factors) data.</w:t>
      </w:r>
      <w:r>
        <w:t xml:space="preserve"> </w:t>
      </w:r>
      <w:r>
        <w:t xml:space="preserve">The reliability of the results is dependent on the accuracy and completeness of the input data.</w:t>
      </w:r>
      <w:r>
        <w:t xml:space="preserve"> </w:t>
      </w:r>
      <w:r>
        <w:t xml:space="preserve">Specific limitations include:</w:t>
      </w:r>
    </w:p>
    <w:p>
      <w:pPr>
        <w:numPr>
          <w:ilvl w:val="0"/>
          <w:numId w:val="1012"/>
        </w:numPr>
        <w:pStyle w:val="Compact"/>
      </w:pPr>
      <w:r>
        <w:t xml:space="preserve">Reliance on generic, illustrative emission factors for certain processes (e.g., transport modes, EoL processes) where specific supplier or regional data was not provided.</w:t>
      </w:r>
    </w:p>
    <w:p>
      <w:pPr>
        <w:numPr>
          <w:ilvl w:val="0"/>
          <w:numId w:val="1012"/>
        </w:numPr>
        <w:pStyle w:val="Compact"/>
      </w:pPr>
      <w:r>
        <w:t xml:space="preserve">Assumptions made for inbound transport distances and last-mile delivery distances.</w:t>
      </w:r>
    </w:p>
    <w:p>
      <w:pPr>
        <w:numPr>
          <w:ilvl w:val="0"/>
          <w:numId w:val="1012"/>
        </w:numPr>
        <w:pStyle w:val="Compact"/>
      </w:pPr>
      <w:r>
        <w:t xml:space="preserve">The `ejwjyevg` BOM was interpreted as a single component; a more comprehensive BOM would enhance material impact accuracy.</w:t>
      </w:r>
    </w:p>
    <w:p>
      <w:pPr>
        <w:numPr>
          <w:ilvl w:val="0"/>
          <w:numId w:val="1012"/>
        </w:numPr>
        <w:pStyle w:val="Compact"/>
      </w:pPr>
      <w:r>
        <w:t xml:space="preserve">Scope 1 emissions from direct fuel combustion on-site for manufacturing are assumed negligible unless explicitly detailed.</w:t>
      </w:r>
    </w:p>
    <w:p>
      <w:pPr>
        <w:numPr>
          <w:ilvl w:val="0"/>
          <w:numId w:val="1012"/>
        </w:numPr>
        <w:pStyle w:val="Compact"/>
      </w:pPr>
      <w:r>
        <w:t xml:space="preserve">LSR Standard application for land-use change emissions or removals is based on embedded factors, without specific product-level land-use data.</w:t>
      </w:r>
    </w:p>
    <w:p>
      <w:pPr>
        <w:pStyle w:val="FirstParagraph"/>
      </w:pPr>
      <w:r>
        <w:t xml:space="preserve">To improve accuracy, vkytnlfdrt is recommended to gather more specific primary data for all upstream and downstream activities.</w:t>
      </w:r>
    </w:p>
    <w:bookmarkEnd w:id="37"/>
    <w:bookmarkStart w:id="38" w:name="recommendations"/>
    <w:p>
      <w:pPr>
        <w:pStyle w:val="Heading3"/>
      </w:pPr>
      <w:r>
        <w:t xml:space="preserve">Recommendations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Material Optimization:</w:t>
      </w:r>
      <w:r>
        <w:t xml:space="preserve"> </w:t>
      </w:r>
      <w:r>
        <w:t xml:space="preserve">Explore opportunities to utilize materials with lower embedded carbon or increase the percentage of recycled content, beyond the current `</w:t>
      </w:r>
    </w:p>
    <w:p>
      <w:pPr>
        <w:numPr>
          <w:ilvl w:val="0"/>
          <w:numId w:val="1000"/>
        </w:numPr>
        <w:pStyle w:val="Compact"/>
      </w:pPr>
      <w:r>
        <w:t xml:space="preserve">`.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Supply Chain Engagement:</w:t>
      </w:r>
      <w:r>
        <w:t xml:space="preserve"> </w:t>
      </w:r>
      <w:r>
        <w:t xml:space="preserve">Work with suppliers to obtain product-specific emission factors for materials and transport, especially for the Europe-focused supply chain, to refine Scope 3 calculations.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Energy Efficiency &amp; Renewables:</w:t>
      </w:r>
      <w:r>
        <w:t xml:space="preserve"> </w:t>
      </w:r>
      <w:r>
        <w:t xml:space="preserve">Continue optimizing energy efficiency in manufacturing and explore options to further increase renewable energy procurement, potentially offsetting remaining non-renewable energy with high-quality carbon credits.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Investigate more efficient transport modes (e.g., rail over road for long distances) and optimize logistics routes and load factors to reduce transport emissions.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Extend Product Lifespan:</w:t>
      </w:r>
      <w:r>
        <w:t xml:space="preserve"> </w:t>
      </w:r>
      <w:r>
        <w:t xml:space="preserve">Focus on product durability and repairability to extend the `</w:t>
      </w:r>
    </w:p>
    <w:p>
      <w:pPr>
        <w:numPr>
          <w:ilvl w:val="0"/>
          <w:numId w:val="1000"/>
        </w:numPr>
        <w:pStyle w:val="Compact"/>
      </w:pPr>
      <w:r>
        <w:t xml:space="preserve">` and reduce the frequency of product replacement.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Leverage and expand `</w:t>
      </w:r>
    </w:p>
    <w:p>
      <w:pPr>
        <w:numPr>
          <w:ilvl w:val="0"/>
          <w:numId w:val="1000"/>
        </w:numPr>
        <w:pStyle w:val="Compact"/>
      </w:pPr>
      <w:r>
        <w:t xml:space="preserve">` to maximize recycling rates and explore innovative circular business models.</w:t>
      </w:r>
    </w:p>
    <w:bookmarkEnd w:id="38"/>
    <w:bookmarkEnd w:id="39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yqzqrqhjir</dc:title>
  <dc:creator/>
  <dc:description>High-detail Product Carbon Footprint (PCF) analysis report for yqzqrqhjir by qtxvzjyziv, Senior Sustainability Consultant, adhering to GHG Protocol and 2026 LSR Update.</dc:description>
  <dc:language>en</dc:language>
  <cp:keywords/>
  <dcterms:created xsi:type="dcterms:W3CDTF">2026-07-15T09:26:34Z</dcterms:created>
  <dcterms:modified xsi:type="dcterms:W3CDTF">2026-07-15T09:26:34Z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