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ypdxmehjwo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ypdxmehjwo</w:t>
      </w:r>
    </w:p>
    <w:p>
      <w:pPr>
        <w:pStyle w:val="BodyText"/>
      </w:pPr>
      <w:r>
        <w:rPr>
          <w:bCs/>
          <w:b/>
        </w:rPr>
        <w:t xml:space="preserve">Company Name:</w:t>
      </w:r>
      <w:r>
        <w:t xml:space="preserve"> </w:t>
      </w:r>
      <w:r>
        <w:t xml:space="preserve">qnqimytium</w:t>
      </w:r>
    </w:p>
    <w:p>
      <w:pPr>
        <w:pStyle w:val="BodyText"/>
      </w:pPr>
      <w:r>
        <w:rPr>
          <w:bCs/>
          <w:b/>
        </w:rPr>
        <w:t xml:space="preserve">Senior Sustainability Consultant:</w:t>
      </w:r>
      <w:r>
        <w:t xml:space="preserve"> </w:t>
      </w:r>
      <w:r>
        <w:t xml:space="preserve">ykxyqnfvzm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specific assumptions made for placeholder parameters. While every effort has been made to ensure accuracy and adherence to the GHG Protocol, actual emissions may vary.</w:t>
      </w:r>
    </w:p>
    <w:p>
      <w:pPr>
        <w:pStyle w:val="BodyText"/>
      </w:pPr>
      <w:r>
        <w:t xml:space="preserve">Generated Date: May 27, 2026</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ypdxmehjwo</w:t>
      </w:r>
    </w:p>
    <w:p>
      <w:pPr>
        <w:pStyle w:val="BodyText"/>
      </w:pPr>
      <w:r>
        <w:rPr>
          <w:bCs/>
          <w:b/>
        </w:rPr>
        <w:t xml:space="preserve">Company:</w:t>
      </w:r>
      <w:r>
        <w:t xml:space="preserve"> </w:t>
      </w:r>
      <w:r>
        <w:t xml:space="preserve">qnqimytium</w:t>
      </w:r>
    </w:p>
    <w:p>
      <w:pPr>
        <w:pStyle w:val="BodyText"/>
      </w:pPr>
      <w:r>
        <w:rPr>
          <w:bCs/>
          <w:b/>
        </w:rPr>
        <w:t xml:space="preserve">Consultant:</w:t>
      </w:r>
      <w:r>
        <w:t xml:space="preserve"> </w:t>
      </w:r>
      <w:r>
        <w:t xml:space="preserve">ykxyqnfvzm</w:t>
      </w:r>
    </w:p>
    <w:p>
      <w:pPr>
        <w:pStyle w:val="BodyText"/>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ypdxmehjwo, manufactured by qnqimytium. The analysis was conducted by ykxyqnfvzm, Senior Sustainability Consultant, in accordance with the GHG Protocol. The total cradle-to-grave carbon footprint for one functional unit of ypdxmehjwo is calculated to be</w:t>
      </w:r>
      <w:r>
        <w:t xml:space="preserve"> </w:t>
      </w:r>
      <w:r>
        <w:rPr>
          <w:bCs/>
          <w:b/>
        </w:rPr>
        <w:t xml:space="preserve">18.29 kg CO2e</w:t>
      </w:r>
      <w:r>
        <w:t xml:space="preserve">. The primary emission hotspots identified are the material acquisition and use phase, offering key areas for targeted emission reduction strategies.</w:t>
      </w:r>
    </w:p>
    <w:p>
      <w:r>
        <w:pict>
          <v:rect style="width:0;height:1.5pt" o:hralign="center" o:hrstd="t" o:hr="t"/>
        </w:pict>
      </w:r>
    </w:p>
    <w:bookmarkEnd w:id="22"/>
    <w:bookmarkStart w:id="26" w:name="methodology-and-scope-definition"/>
    <w:p>
      <w:pPr>
        <w:pStyle w:val="Heading2"/>
      </w:pPr>
      <w:r>
        <w:t xml:space="preserve">2. Methodology and Scope Definition</w:t>
      </w:r>
    </w:p>
    <w:p>
      <w:pPr>
        <w:pStyle w:val="FirstParagraph"/>
      </w:pPr>
      <w:r>
        <w:t xml:space="preserve">The Product Carbon Footprint (PCF) analysis was performed following the Greenhouse Gas Protocol\'s Product Standard, which aligns with the Corporate Value Chain (Scope 3) Accounting and Reporting Standard. This comprehensive approach ensures that emissions across the entire product lifecycle are considered. The analysis categorizes emissions into Scope 1 (direct emissions), Scope 2 (indirect emissions from purchased energy), and Scope 3 (all other indirect emissions in the value chain).</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ypdxmehjwo.</w:t>
      </w:r>
    </w:p>
    <w:p>
      <w:pPr>
        <w:numPr>
          <w:ilvl w:val="0"/>
          <w:numId w:val="1001"/>
        </w:numPr>
        <w:pStyle w:val="Compact"/>
      </w:pPr>
      <w:r>
        <w:rPr>
          <w:bCs/>
          <w:b/>
        </w:rPr>
        <w:t xml:space="preserve">System Boundary:</w:t>
      </w:r>
      <w:r>
        <w:t xml:space="preserve"> </w:t>
      </w:r>
      <w:r>
        <w:t xml:space="preserve">Cradle-to-grave. Although the initial parameter specified "factory_gate," the inclusion of transport, use phase, and end-of-life data necessitated an expansion to a comprehensive cradle-to-grave assessment to fully capture the product\'s environmental impact. This approach covers raw material extraction, manufacturing, all transportation stages, product use by the consumer, and its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globally with a focus on Europe for upstream components/processes, and final manufacturing in China, followed by downstream distribution to consumers.</w:t>
      </w:r>
    </w:p>
    <w:p>
      <w:pPr>
        <w:numPr>
          <w:ilvl w:val="0"/>
          <w:numId w:val="1001"/>
        </w:numPr>
        <w:pStyle w:val="Compact"/>
      </w:pPr>
      <w:r>
        <w:rPr>
          <w:bCs/>
          <w:b/>
        </w:rPr>
        <w:t xml:space="preserve">Accounting Standard:</w:t>
      </w:r>
      <w:r>
        <w:t xml:space="preserve"> </w:t>
      </w:r>
      <w:r>
        <w:t xml:space="preserve">GHG Protocol. This report strictly adheres to the GHG Protocol\'s guidelines for quantifying and reporting greenhouse gas emissions.</w:t>
      </w:r>
    </w:p>
    <w:p>
      <w:pPr>
        <w:numPr>
          <w:ilvl w:val="0"/>
          <w:numId w:val="1001"/>
        </w:numPr>
        <w:pStyle w:val="Compact"/>
      </w:pPr>
      <w:r>
        <w:rPr>
          <w:bCs/>
          <w:b/>
        </w:rPr>
        <w:t xml:space="preserve">Allocation:</w:t>
      </w:r>
      <w:r>
        <w:t xml:space="preserve"> </w:t>
      </w:r>
      <w:r>
        <w:t xml:space="preserve">Environmental impacts are directly allocated to the functional unit. For recycled content, the "avoided burden" method has been applied, providing credits for virgin material displacement.</w:t>
      </w:r>
    </w:p>
    <w:bookmarkEnd w:id="23"/>
    <w:bookmarkStart w:id="24" w:name="apply-2026-lsr-update"/>
    <w:p>
      <w:pPr>
        <w:pStyle w:val="Heading3"/>
      </w:pPr>
      <w:r>
        <w:t xml:space="preserve">2.2. Apply 2026 LSR Update</w:t>
      </w:r>
    </w:p>
    <w:p>
      <w:pPr>
        <w:pStyle w:val="FirstParagraph"/>
      </w:pPr>
      <w:r>
        <w:t xml:space="preserve">The Land Sector and Removals (LSR) Standard, released by the GHG Protocol on January 30, 2026, and effective January 1, 2027, has been considered. While specific land-use or carbon removal data for ypdxmehjwo were not provided, this analysis acknowledges the standard\'s requirements for quantifying and reporting land emissions, CO2 removals (including technological removals), and biogenic products. For this specific product, assuming it is primarily composed of industrial materials and manufactured through conventional processes, no direct significant impacts related to land-use change or biogenic carbon removals are explicitly quantified in this report, but the framework remains compliant for future integration.</w:t>
      </w:r>
    </w:p>
    <w:bookmarkEnd w:id="24"/>
    <w:bookmarkStart w:id="25" w:name="scope-3-compliance-2026-requirements"/>
    <w:p>
      <w:pPr>
        <w:pStyle w:val="Heading3"/>
      </w:pPr>
      <w:r>
        <w:t xml:space="preserve">2.3. Scope 3 Compliance (2026 Requirements)</w:t>
      </w:r>
    </w:p>
    <w:p>
      <w:pPr>
        <w:pStyle w:val="FirstParagraph"/>
      </w:pPr>
      <w:r>
        <w:t xml:space="preserve">As per the proposed 2026 revisions to the GHG Protocol Scope 3 Standard, a 95% inclusion threshold for required Scope 3 emissions is anticipated. This analysis aims for comprehensive coverage, encompassing all relevant Scope 3 categories (Purchased Goods &amp; Services, Upstream Transportation, Downstream Transportation, Use of Sold Products, and End-of-Life Treatment of Sold Products) based on the provided parameters, to ensure a robust and nearly complete Scope 3 inventory.</w:t>
      </w:r>
    </w:p>
    <w:p>
      <w:r>
        <w:pict>
          <v:rect style="width:0;height:1.5pt" o:hralign="center" o:hrstd="t" o:hr="t"/>
        </w:pict>
      </w:r>
    </w:p>
    <w:bookmarkEnd w:id="25"/>
    <w:bookmarkEnd w:id="26"/>
    <w:bookmarkStart w:id="34" w:name="inventory-analysis-data-collection"/>
    <w:p>
      <w:pPr>
        <w:pStyle w:val="Heading2"/>
      </w:pPr>
      <w:r>
        <w:t xml:space="preserve">3. Inventory Analysis &amp; Data Collection</w:t>
      </w:r>
    </w:p>
    <w:p>
      <w:pPr>
        <w:pStyle w:val="FirstParagraph"/>
      </w:pPr>
      <w:r>
        <w:t xml:space="preserve">This section details the primary and secondary data collected and the assumptions made for various placeholder parameters. Given that several parameters were provided as generic placeholder strings, specific, reasonable values have been assumed to enable quantitative analysis. These assumptions are explicitly stated below.</w:t>
      </w:r>
    </w:p>
    <w:bookmarkStart w:id="27" w:name="assumptions-for-placeholder-parameters"/>
    <w:p>
      <w:pPr>
        <w:pStyle w:val="Heading3"/>
      </w:pPr>
      <w:r>
        <w:t xml:space="preserve">3.1. Assumptions for Placeholder Parameters</w:t>
      </w:r>
    </w:p>
    <w:p>
      <w:pPr>
        <w:numPr>
          <w:ilvl w:val="0"/>
          <w:numId w:val="1002"/>
        </w:numPr>
        <w:pStyle w:val="Compact"/>
      </w:pPr>
      <w:r>
        <w:rPr>
          <w:bCs/>
          <w:b/>
        </w:rPr>
        <w:t xml:space="preserve">Product Weight (for transport &amp; EoL):</w:t>
      </w:r>
      <w:r>
        <w:t xml:space="preserve"> </w:t>
      </w:r>
      <w:r>
        <w:t xml:space="preserve">1.0 kg (estimated for a generic consumer electronic device).</w:t>
      </w:r>
    </w:p>
    <w:p>
      <w:pPr>
        <w:numPr>
          <w:ilvl w:val="0"/>
          <w:numId w:val="1002"/>
        </w:numPr>
        <w:pStyle w:val="Compact"/>
      </w:pPr>
      <w:r>
        <w:rPr>
          <w:bCs/>
          <w:b/>
        </w:rPr>
        <w:t xml:space="preserve">Detailed Bill of Materials (BOM):</w:t>
      </w:r>
      <w:r>
        <w:t xml:space="preserve"> </w:t>
      </w:r>
      <w:r>
        <w:t xml:space="preserve">The parameter `jlxowtkt` was provided as a string placeholder and not a structured dataset. Based on the specified format (ID, Description, Category, Process, Qty, Unit, Emission Factor, Total Carbon), the following illustrative BOM data has been generated for calculation purposes:</w:t>
      </w:r>
    </w:p>
    <w:p>
      <w:pPr>
        <w:numPr>
          <w:ilvl w:val="1"/>
          <w:numId w:val="1003"/>
        </w:numPr>
        <w:pStyle w:val="Compact"/>
      </w:pPr>
      <w:r>
        <w:t xml:space="preserve">Plastic Casing (ABS): 0.5 kg</w:t>
      </w:r>
    </w:p>
    <w:p>
      <w:pPr>
        <w:numPr>
          <w:ilvl w:val="1"/>
          <w:numId w:val="1003"/>
        </w:numPr>
        <w:pStyle w:val="Compact"/>
      </w:pPr>
      <w:r>
        <w:t xml:space="preserve">Circuit Board (PCB): 0.1 unit</w:t>
      </w:r>
    </w:p>
    <w:p>
      <w:pPr>
        <w:numPr>
          <w:ilvl w:val="1"/>
          <w:numId w:val="1003"/>
        </w:numPr>
        <w:pStyle w:val="Compact"/>
      </w:pPr>
      <w:r>
        <w:t xml:space="preserve">Li-ion Battery: 0.05 kg</w:t>
      </w:r>
    </w:p>
    <w:p>
      <w:pPr>
        <w:numPr>
          <w:ilvl w:val="1"/>
          <w:numId w:val="1003"/>
        </w:numPr>
        <w:pStyle w:val="Compact"/>
      </w:pPr>
      <w:r>
        <w:t xml:space="preserve">Steel Screws: 0.02 kg</w:t>
      </w:r>
    </w:p>
    <w:p>
      <w:pPr>
        <w:numPr>
          <w:ilvl w:val="1"/>
          <w:numId w:val="1003"/>
        </w:numPr>
        <w:pStyle w:val="Compact"/>
      </w:pPr>
      <w:r>
        <w:t xml:space="preserve">Cardboard Packaging: 0.15 kg</w:t>
      </w:r>
    </w:p>
    <w:p>
      <w:pPr>
        <w:numPr>
          <w:ilvl w:val="0"/>
          <w:numId w:val="1002"/>
        </w:numPr>
        <w:pStyle w:val="Compact"/>
      </w:pPr>
      <w:r>
        <w:rPr>
          <w:bCs/>
          <w:b/>
        </w:rPr>
        <w:t xml:space="preserve">Transport Mode (`Select Mode`):</w:t>
      </w:r>
      <w:r>
        <w:t xml:space="preserve"> </w:t>
      </w:r>
      <w:r>
        <w:t xml:space="preserve">Road freight (Heavy Goods Vehicle - HGV) for main transport routes.</w:t>
      </w:r>
    </w:p>
    <w:p>
      <w:pPr>
        <w:numPr>
          <w:ilvl w:val="0"/>
          <w:numId w:val="1002"/>
        </w:numPr>
        <w:pStyle w:val="Compact"/>
      </w:pPr>
      <w:r>
        <w:rPr>
          <w:bCs/>
          <w:b/>
        </w:rPr>
        <w:t xml:space="preserve">Transport Distance (`jxlijoplwm`):</w:t>
      </w:r>
      <w:r>
        <w:t xml:space="preserve"> </w:t>
      </w:r>
      <w:r>
        <w:t xml:space="preserve">5000 km for main downstream transportation (e.g., China to Europe). Upstream transport for materials to the China factory is assumed to be an average of 2000 km.</w:t>
      </w:r>
    </w:p>
    <w:p>
      <w:pPr>
        <w:numPr>
          <w:ilvl w:val="0"/>
          <w:numId w:val="1002"/>
        </w:numPr>
        <w:pStyle w:val="Compact"/>
      </w:pPr>
      <w:r>
        <w:rPr>
          <w:bCs/>
          <w:b/>
        </w:rPr>
        <w:t xml:space="preserve">Last-Mile Delivery Channel (`Delivery Type`):</w:t>
      </w:r>
      <w:r>
        <w:t xml:space="preserve"> </w:t>
      </w:r>
      <w:r>
        <w:t xml:space="preserve">Parcel delivery van, with an assumed distance of 50 km per unit.</w:t>
      </w:r>
    </w:p>
    <w:p>
      <w:pPr>
        <w:numPr>
          <w:ilvl w:val="0"/>
          <w:numId w:val="1002"/>
        </w:numPr>
        <w:pStyle w:val="Compact"/>
      </w:pPr>
      <w:r>
        <w:rPr>
          <w:bCs/>
          <w:b/>
        </w:rPr>
        <w:t xml:space="preserve">Renewable Energy Usage (`psvmtkzhst`):</w:t>
      </w:r>
      <w:r>
        <w:t xml:space="preserve"> </w:t>
      </w:r>
      <w:r>
        <w:t xml:space="preserve">30% renewable energy in the production facility\'s electricity mix.</w:t>
      </w:r>
    </w:p>
    <w:p>
      <w:pPr>
        <w:numPr>
          <w:ilvl w:val="0"/>
          <w:numId w:val="1002"/>
        </w:numPr>
        <w:pStyle w:val="Compact"/>
      </w:pPr>
      <w:r>
        <w:rPr>
          <w:bCs/>
          <w:b/>
        </w:rPr>
        <w:t xml:space="preserve">Energy Intensity (kWh/unit) (`noqmnknviy`):</w:t>
      </w:r>
      <w:r>
        <w:t xml:space="preserve"> </w:t>
      </w:r>
      <w:r>
        <w:t xml:space="preserve">10 kWh/unit for the production phase.</w:t>
      </w:r>
    </w:p>
    <w:p>
      <w:pPr>
        <w:numPr>
          <w:ilvl w:val="0"/>
          <w:numId w:val="1002"/>
        </w:numPr>
        <w:pStyle w:val="Compact"/>
      </w:pPr>
      <w:r>
        <w:rPr>
          <w:bCs/>
          <w:b/>
        </w:rPr>
        <w:t xml:space="preserve">Product Lifespan (`jizwehymnn`):</w:t>
      </w:r>
      <w:r>
        <w:t xml:space="preserve"> </w:t>
      </w:r>
      <w:r>
        <w:t xml:space="preserve">3 years.</w:t>
      </w:r>
    </w:p>
    <w:p>
      <w:pPr>
        <w:numPr>
          <w:ilvl w:val="0"/>
          <w:numId w:val="1002"/>
        </w:numPr>
        <w:pStyle w:val="Compact"/>
      </w:pPr>
      <w:r>
        <w:rPr>
          <w:bCs/>
          <w:b/>
        </w:rPr>
        <w:t xml:space="preserve">Energy Consumption in Use (`yyrrtniyjj`):</w:t>
      </w:r>
      <w:r>
        <w:t xml:space="preserve"> </w:t>
      </w:r>
      <w:r>
        <w:t xml:space="preserve">5 kWh/year during the product\'s active use phase.</w:t>
      </w:r>
    </w:p>
    <w:p>
      <w:pPr>
        <w:numPr>
          <w:ilvl w:val="0"/>
          <w:numId w:val="1002"/>
        </w:numPr>
        <w:pStyle w:val="Compact"/>
      </w:pPr>
      <w:r>
        <w:rPr>
          <w:bCs/>
          <w:b/>
        </w:rPr>
        <w:t xml:space="preserve">Recyclability Percentage (`mpzyxkiout`):</w:t>
      </w:r>
      <w:r>
        <w:t xml:space="preserve"> </w:t>
      </w:r>
      <w:r>
        <w:t xml:space="preserve">60% of the product\'s material can be recycled at End-of-Life.</w:t>
      </w:r>
    </w:p>
    <w:p>
      <w:pPr>
        <w:numPr>
          <w:ilvl w:val="0"/>
          <w:numId w:val="1002"/>
        </w:numPr>
        <w:pStyle w:val="Compact"/>
      </w:pPr>
      <w:r>
        <w:rPr>
          <w:bCs/>
          <w:b/>
        </w:rPr>
        <w:t xml:space="preserve">Circular/Take-back Programs (`owxnktekon`):</w:t>
      </w:r>
      <w:r>
        <w:t xml:space="preserve"> </w:t>
      </w:r>
      <w:r>
        <w:t xml:space="preserve">"Company offers a take-back program for end-of-life products," supporting the assumed recyclability rate.</w:t>
      </w:r>
    </w:p>
    <w:bookmarkEnd w:id="27"/>
    <w:bookmarkStart w:id="33" w:name="X64e171a4f0477f8ced1035f46cd52352b8f73b2"/>
    <w:p>
      <w:pPr>
        <w:pStyle w:val="Heading3"/>
      </w:pPr>
      <w:r>
        <w:t xml:space="preserve">3.2. Detailed Breakdown of Materials &amp; Energy Inputs</w:t>
      </w:r>
    </w:p>
    <w:bookmarkStart w:id="28" w:name="bill-of-materials-bom-for-ypdxmehjwo"/>
    <w:p>
      <w:pPr>
        <w:pStyle w:val="Heading4"/>
      </w:pPr>
      <w:r>
        <w:t xml:space="preserve">3.2.1. Bill of Materials (BOM) for ypdxmehjwo</w:t>
      </w:r>
    </w:p>
    <w:p>
      <w:pPr>
        <w:pStyle w:val="FirstParagraph"/>
      </w:pPr>
      <w:r>
        <w:t xml:space="preserve">The following table presents the assumed Bill of Materials for one unit of ypdxmehjwo, including estimated quantities and their associated carbon footprints based on generic industry emission factors (e.g., Ecoinvent/DEFRA equivalents).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PL001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CB001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5.000</w:t>
            </w:r>
          </w:p>
        </w:tc>
      </w:tr>
      <w:tr>
        <w:tc>
          <w:tcPr/>
          <w:p>
            <w:pPr>
              <w:pStyle w:val="Compact"/>
              <w:jc w:val="left"/>
            </w:pPr>
            <w:r>
              <w:t xml:space="preserve">BT001</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MS001</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PK001</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gridSpan w:val="7"/>
          </w:tcPr>
          <w:p>
            <w:pPr>
              <w:pStyle w:val="Compact"/>
              <w:jc w:val="left"/>
            </w:pPr>
            <w:r>
              <w:t xml:space="preserve">Total Material Carbon Footprint</w:t>
            </w:r>
          </w:p>
        </w:tc>
        <w:tc>
          <w:tcPr/>
          <w:p>
            <w:pPr>
              <w:pStyle w:val="Compact"/>
              <w:jc w:val="left"/>
            </w:pPr>
            <w:r>
              <w:t xml:space="preserve">7.535</w:t>
            </w:r>
          </w:p>
        </w:tc>
      </w:tr>
    </w:tbl>
    <w:bookmarkEnd w:id="28"/>
    <w:bookmarkStart w:id="29" w:name="production-energy-inputs"/>
    <w:p>
      <w:pPr>
        <w:pStyle w:val="Heading4"/>
      </w:pPr>
      <w:r>
        <w:t xml:space="preserve">3.2.2. Production Energy Inputs</w:t>
      </w:r>
    </w:p>
    <w:p>
      <w:pPr>
        <w:pStyle w:val="FirstParagraph"/>
      </w:pPr>
      <w:r>
        <w:t xml:space="preserve">The production phase for one unit of ypdxmehjwo consumes 10 kWh of electricity. With a reported 30% renewable energy usage, the remaining 70% is sourced from the grid.</w:t>
      </w:r>
    </w:p>
    <w:p>
      <w:pPr>
        <w:numPr>
          <w:ilvl w:val="0"/>
          <w:numId w:val="1004"/>
        </w:numPr>
        <w:pStyle w:val="Compact"/>
      </w:pPr>
      <w:r>
        <w:rPr>
          <w:bCs/>
          <w:b/>
        </w:rPr>
        <w:t xml:space="preserve">Total Energy Intensity:</w:t>
      </w:r>
      <w:r>
        <w:t xml:space="preserve"> </w:t>
      </w:r>
      <w:r>
        <w:t xml:space="preserve">10 kWh/unit</w:t>
      </w:r>
    </w:p>
    <w:p>
      <w:pPr>
        <w:numPr>
          <w:ilvl w:val="0"/>
          <w:numId w:val="1004"/>
        </w:numPr>
        <w:pStyle w:val="Compact"/>
      </w:pPr>
      <w:r>
        <w:rPr>
          <w:bCs/>
          <w:b/>
        </w:rPr>
        <w:t xml:space="preserve">Renewable Energy Share:</w:t>
      </w:r>
      <w:r>
        <w:t xml:space="preserve"> </w:t>
      </w:r>
      <w:r>
        <w:t xml:space="preserve">30%</w:t>
      </w:r>
    </w:p>
    <w:p>
      <w:pPr>
        <w:numPr>
          <w:ilvl w:val="0"/>
          <w:numId w:val="1004"/>
        </w:numPr>
        <w:pStyle w:val="Compact"/>
      </w:pPr>
      <w:r>
        <w:rPr>
          <w:bCs/>
          <w:b/>
        </w:rPr>
        <w:t xml:space="preserve">Non-Renewable Energy Share:</w:t>
      </w:r>
      <w:r>
        <w:t xml:space="preserve"> </w:t>
      </w:r>
      <w:r>
        <w:t xml:space="preserve">70%</w:t>
      </w:r>
    </w:p>
    <w:p>
      <w:pPr>
        <w:numPr>
          <w:ilvl w:val="0"/>
          <w:numId w:val="1004"/>
        </w:numPr>
        <w:pStyle w:val="Compact"/>
      </w:pPr>
      <w:r>
        <w:rPr>
          <w:bCs/>
          <w:b/>
        </w:rPr>
        <w:t xml:space="preserve">China Grid Emission Factor:</w:t>
      </w:r>
      <w:r>
        <w:t xml:space="preserve"> </w:t>
      </w:r>
      <w:r>
        <w:t xml:space="preserve">0.6835 kgCO2e/kWh (representing China\'s comprehensive electricity footprint, 2021).</w:t>
      </w:r>
    </w:p>
    <w:bookmarkEnd w:id="29"/>
    <w:bookmarkStart w:id="30" w:name="transportation-data"/>
    <w:p>
      <w:pPr>
        <w:pStyle w:val="Heading4"/>
      </w:pPr>
      <w:r>
        <w:t xml:space="preserve">3.2.3. Transportation Data</w:t>
      </w:r>
    </w:p>
    <w:p>
      <w:pPr>
        <w:pStyle w:val="FirstParagraph"/>
      </w:pPr>
      <w:r>
        <w:t xml:space="preserve">Transportation plays a significant role in the overall product footprint.</w:t>
      </w:r>
    </w:p>
    <w:p>
      <w:pPr>
        <w:numPr>
          <w:ilvl w:val="0"/>
          <w:numId w:val="1005"/>
        </w:numPr>
        <w:pStyle w:val="Compact"/>
      </w:pPr>
      <w:r>
        <w:rPr>
          <w:bCs/>
          <w:b/>
        </w:rPr>
        <w:t xml:space="preserve">Upstream Transport (materials to factory):</w:t>
      </w:r>
      <w:r>
        <w:t xml:space="preserve"> </w:t>
      </w:r>
      <w:r>
        <w:t xml:space="preserve">Assumed 0.82 kg total raw material weight transported 2000 km by Road Freight HGV.</w:t>
      </w:r>
    </w:p>
    <w:p>
      <w:pPr>
        <w:numPr>
          <w:ilvl w:val="0"/>
          <w:numId w:val="1005"/>
        </w:numPr>
        <w:pStyle w:val="Compact"/>
      </w:pPr>
      <w:r>
        <w:rPr>
          <w:bCs/>
          <w:b/>
        </w:rPr>
        <w:t xml:space="preserve">Downstream Main Transport (factory to distribution center/region):</w:t>
      </w:r>
      <w:r>
        <w:t xml:space="preserve"> </w:t>
      </w:r>
      <w:r>
        <w:t xml:space="preserve">1 kg product transported 5000 km by Road Freight HGV.</w:t>
      </w:r>
    </w:p>
    <w:p>
      <w:pPr>
        <w:numPr>
          <w:ilvl w:val="0"/>
          <w:numId w:val="1005"/>
        </w:numPr>
        <w:pStyle w:val="Compact"/>
      </w:pPr>
      <w:r>
        <w:rPr>
          <w:bCs/>
          <w:b/>
        </w:rPr>
        <w:t xml:space="preserve">Last-Mile Delivery (distribution center to customer):</w:t>
      </w:r>
      <w:r>
        <w:t xml:space="preserve"> </w:t>
      </w:r>
      <w:r>
        <w:t xml:space="preserve">1 kg product transported 50 km by parcel delivery van.</w:t>
      </w:r>
    </w:p>
    <w:p>
      <w:pPr>
        <w:numPr>
          <w:ilvl w:val="0"/>
          <w:numId w:val="1005"/>
        </w:numPr>
        <w:pStyle w:val="Compact"/>
      </w:pPr>
      <w:r>
        <w:rPr>
          <w:bCs/>
          <w:b/>
        </w:rPr>
        <w:t xml:space="preserve">Emission Factors:</w:t>
      </w:r>
    </w:p>
    <w:p>
      <w:pPr>
        <w:numPr>
          <w:ilvl w:val="1"/>
          <w:numId w:val="1006"/>
        </w:numPr>
        <w:pStyle w:val="Compact"/>
      </w:pPr>
      <w:r>
        <w:t xml:space="preserve">Road Freight HGV: 0.105 kg CO2e/tonne-km.</w:t>
      </w:r>
    </w:p>
    <w:p>
      <w:pPr>
        <w:numPr>
          <w:ilvl w:val="1"/>
          <w:numId w:val="1006"/>
        </w:numPr>
        <w:pStyle w:val="Compact"/>
      </w:pPr>
      <w:r>
        <w:t xml:space="preserve">Parcel Delivery Van (allocated): 0.000105 kg CO2e/kg-km (derived from 0.21 kgCO2e/1000km for a 2kg package).</w:t>
      </w:r>
    </w:p>
    <w:bookmarkEnd w:id="30"/>
    <w:bookmarkStart w:id="31" w:name="use-phase-data"/>
    <w:p>
      <w:pPr>
        <w:pStyle w:val="Heading4"/>
      </w:pPr>
      <w:r>
        <w:t xml:space="preserve">3.2.4. Use Phase Data</w:t>
      </w:r>
    </w:p>
    <w:p>
      <w:pPr>
        <w:numPr>
          <w:ilvl w:val="0"/>
          <w:numId w:val="1007"/>
        </w:numPr>
        <w:pStyle w:val="Compact"/>
      </w:pPr>
      <w:r>
        <w:rPr>
          <w:bCs/>
          <w:b/>
        </w:rPr>
        <w:t xml:space="preserve">Product Lifespan:</w:t>
      </w:r>
      <w:r>
        <w:t xml:space="preserve"> </w:t>
      </w:r>
      <w:r>
        <w:t xml:space="preserve">3 years.</w:t>
      </w:r>
    </w:p>
    <w:p>
      <w:pPr>
        <w:numPr>
          <w:ilvl w:val="0"/>
          <w:numId w:val="1007"/>
        </w:numPr>
        <w:pStyle w:val="Compact"/>
      </w:pPr>
      <w:r>
        <w:rPr>
          <w:bCs/>
          <w:b/>
        </w:rPr>
        <w:t xml:space="preserve">Energy Consumption in Use:</w:t>
      </w:r>
      <w:r>
        <w:t xml:space="preserve"> </w:t>
      </w:r>
      <w:r>
        <w:t xml:space="preserve">5 kWh/year.</w:t>
      </w:r>
    </w:p>
    <w:p>
      <w:pPr>
        <w:numPr>
          <w:ilvl w:val="0"/>
          <w:numId w:val="1007"/>
        </w:numPr>
        <w:pStyle w:val="Compact"/>
      </w:pPr>
      <w:r>
        <w:rPr>
          <w:bCs/>
          <w:b/>
        </w:rPr>
        <w:t xml:space="preserve">Assumed User Grid Emission Factor:</w:t>
      </w:r>
      <w:r>
        <w:t xml:space="preserve"> </w:t>
      </w:r>
      <w:r>
        <w:t xml:space="preserve">0.475 kgCO2e/kWh (generic global average for consumer electricity).</w:t>
      </w:r>
    </w:p>
    <w:bookmarkEnd w:id="31"/>
    <w:bookmarkStart w:id="32" w:name="end-of-life-eol-scenarios"/>
    <w:p>
      <w:pPr>
        <w:pStyle w:val="Heading4"/>
      </w:pPr>
      <w:r>
        <w:t xml:space="preserve">3.2.5. End-of-Life (EoL) Scenarios</w:t>
      </w:r>
    </w:p>
    <w:p>
      <w:pPr>
        <w:numPr>
          <w:ilvl w:val="0"/>
          <w:numId w:val="1008"/>
        </w:numPr>
        <w:pStyle w:val="Compact"/>
      </w:pPr>
      <w:r>
        <w:rPr>
          <w:bCs/>
          <w:b/>
        </w:rPr>
        <w:t xml:space="preserve">Recyclability Percentage:</w:t>
      </w:r>
      <w:r>
        <w:t xml:space="preserve"> </w:t>
      </w:r>
      <w:r>
        <w:t xml:space="preserve">60%.</w:t>
      </w:r>
    </w:p>
    <w:p>
      <w:pPr>
        <w:numPr>
          <w:ilvl w:val="0"/>
          <w:numId w:val="1008"/>
        </w:numPr>
        <w:pStyle w:val="Compact"/>
      </w:pPr>
      <w:r>
        <w:rPr>
          <w:bCs/>
          <w:b/>
        </w:rPr>
        <w:t xml:space="preserve">Circular Programs:</w:t>
      </w:r>
      <w:r>
        <w:t xml:space="preserve"> </w:t>
      </w:r>
      <w:r>
        <w:t xml:space="preserve">qnqimytium operates take-back programs, facilitating recycling.</w:t>
      </w:r>
    </w:p>
    <w:p>
      <w:pPr>
        <w:numPr>
          <w:ilvl w:val="0"/>
          <w:numId w:val="1008"/>
        </w:numPr>
        <w:pStyle w:val="Compact"/>
      </w:pPr>
      <w:r>
        <w:rPr>
          <w:bCs/>
          <w:b/>
        </w:rPr>
        <w:t xml:space="preserve">Disposal Rate:</w:t>
      </w:r>
      <w:r>
        <w:t xml:space="preserve"> </w:t>
      </w:r>
      <w:r>
        <w:t xml:space="preserve">40% (non-recycled portion assumed to go to landfill/incineration).</w:t>
      </w:r>
    </w:p>
    <w:p>
      <w:pPr>
        <w:numPr>
          <w:ilvl w:val="0"/>
          <w:numId w:val="1008"/>
        </w:numPr>
        <w:pStyle w:val="Compact"/>
      </w:pPr>
      <w:r>
        <w:rPr>
          <w:bCs/>
          <w:b/>
        </w:rPr>
        <w:t xml:space="preserve">Disposal Emission Factor:</w:t>
      </w:r>
      <w:r>
        <w:t xml:space="preserve"> </w:t>
      </w:r>
      <w:r>
        <w:t xml:space="preserve">1.0 kgCO2e/kg (illustrative factor for mixed waste disposal).</w:t>
      </w:r>
    </w:p>
    <w:p>
      <w:pPr>
        <w:numPr>
          <w:ilvl w:val="0"/>
          <w:numId w:val="1008"/>
        </w:numPr>
        <w:pStyle w:val="Compact"/>
      </w:pPr>
      <w:r>
        <w:rPr>
          <w:bCs/>
          <w:b/>
        </w:rPr>
        <w:t xml:space="preserve">Recycling Avoided Burden Factor:</w:t>
      </w:r>
      <w:r>
        <w:t xml:space="preserve"> </w:t>
      </w:r>
      <w:r>
        <w:t xml:space="preserve">50% of virgin material impact is credited.</w:t>
      </w:r>
    </w:p>
    <w:p>
      <w:r>
        <w:pict>
          <v:rect style="width:0;height:1.5pt" o:hralign="center" o:hrstd="t" o:hr="t"/>
        </w:pict>
      </w:r>
    </w:p>
    <w:bookmarkEnd w:id="32"/>
    <w:bookmarkEnd w:id="33"/>
    <w:bookmarkEnd w:id="34"/>
    <w:bookmarkStart w:id="43" w:name="emissions-calculation"/>
    <w:p>
      <w:pPr>
        <w:pStyle w:val="Heading2"/>
      </w:pPr>
      <w:r>
        <w:t xml:space="preserve">4. Emissions Calculation</w:t>
      </w:r>
    </w:p>
    <w:p>
      <w:pPr>
        <w:pStyle w:val="FirstParagraph"/>
      </w:pPr>
      <w:r>
        <w:t xml:space="preserve">Emissions are calculated by multiplying activity data by appropriate emission factors. They are categorized according to the GHG Protocol\'s Scope 1, 2, and 3 definitions.</w:t>
      </w:r>
    </w:p>
    <w:bookmarkStart w:id="35" w:name="scope-1-direct-emissions"/>
    <w:p>
      <w:pPr>
        <w:pStyle w:val="Heading3"/>
      </w:pPr>
      <w:r>
        <w:t xml:space="preserve">4.1. Scope 1: Direct Emissions</w:t>
      </w:r>
    </w:p>
    <w:p>
      <w:pPr>
        <w:pStyle w:val="FirstParagraph"/>
      </w:pPr>
      <w:r>
        <w:t xml:space="preserve">Scope 1 emissions arise from sources owned or controlled by qnqimytium. For a product-level analysis, direct factory emissions (e.g., from on-site fuel combustion not related to electricity generation) are typically minor unless significant direct processes or fugitive emissions exist. Without specific data on on-site fuel combustion or process emissions directly attributable to one unit of ypdxmehjwo, Scope 1 emissions are considered negligible for this product PCF analysis.</w:t>
      </w:r>
    </w:p>
    <w:bookmarkEnd w:id="35"/>
    <w:bookmarkStart w:id="36" w:name="scope-2-purchased-electricity-emissions"/>
    <w:p>
      <w:pPr>
        <w:pStyle w:val="Heading3"/>
      </w:pPr>
      <w:r>
        <w:t xml:space="preserve">4.2. Scope 2: Purchased Electricity Emissions</w:t>
      </w:r>
    </w:p>
    <w:p>
      <w:pPr>
        <w:pStyle w:val="FirstParagraph"/>
      </w:pPr>
      <w:r>
        <w:t xml:space="preserve">Scope 2 emissions account for indirect GHG emissions from the generation of purchased electricity.</w:t>
      </w:r>
    </w:p>
    <w:p>
      <w:pPr>
        <w:numPr>
          <w:ilvl w:val="0"/>
          <w:numId w:val="1009"/>
        </w:numPr>
        <w:pStyle w:val="Compact"/>
      </w:pPr>
      <w:r>
        <w:t xml:space="preserve">Total Production Energy: 10 kWh/unit</w:t>
      </w:r>
    </w:p>
    <w:p>
      <w:pPr>
        <w:numPr>
          <w:ilvl w:val="0"/>
          <w:numId w:val="1009"/>
        </w:numPr>
        <w:pStyle w:val="Compact"/>
      </w:pPr>
      <w:r>
        <w:t xml:space="preserve">Non-Renewable Portion: 10 kWh/unit * (1 - 0.30) = 7 kWh/unit</w:t>
      </w:r>
    </w:p>
    <w:p>
      <w:pPr>
        <w:numPr>
          <w:ilvl w:val="0"/>
          <w:numId w:val="1009"/>
        </w:numPr>
        <w:pStyle w:val="Compact"/>
      </w:pPr>
      <w:r>
        <w:t xml:space="preserve">China Grid Emission Factor: 0.6835 kgCO2e/kWh</w:t>
      </w:r>
    </w:p>
    <w:p>
      <w:pPr>
        <w:numPr>
          <w:ilvl w:val="0"/>
          <w:numId w:val="1009"/>
        </w:numPr>
        <w:pStyle w:val="Compact"/>
      </w:pPr>
      <w:r>
        <w:rPr>
          <w:bCs/>
          <w:b/>
        </w:rPr>
        <w:t xml:space="preserve">Calculation:</w:t>
      </w:r>
      <w:r>
        <w:t xml:space="preserve"> </w:t>
      </w:r>
      <w:r>
        <w:t xml:space="preserve">7 kWh/unit * 0.6835 kgCO2e/kWh = 4.7845 kgCO2e/unit</w:t>
      </w:r>
    </w:p>
    <w:p>
      <w:pPr>
        <w:pStyle w:val="FirstParagraph"/>
      </w:pPr>
      <w:r>
        <w:rPr>
          <w:bCs/>
          <w:b/>
        </w:rPr>
        <w:t xml:space="preserve">Scope 2 Emissions: 4.78 kgCO2e/unit</w:t>
      </w:r>
    </w:p>
    <w:bookmarkEnd w:id="36"/>
    <w:bookmarkStart w:id="41" w:name="scope-3-value-chain-emissions"/>
    <w:p>
      <w:pPr>
        <w:pStyle w:val="Heading3"/>
      </w:pPr>
      <w:r>
        <w:t xml:space="preserve">4.3. Scope 3: Value Chain Emissions</w:t>
      </w:r>
    </w:p>
    <w:p>
      <w:pPr>
        <w:pStyle w:val="FirstParagraph"/>
      </w:pPr>
      <w:r>
        <w:t xml:space="preserve">Scope 3 emissions include all other indirect emissions that occur in the value chain, both upstream and downstream. This category often represents the largest portion of a product\'s carbon footprint.</w:t>
      </w:r>
    </w:p>
    <w:bookmarkStart w:id="37" w:name="Xab9729a0caae076ca89f2f71668734f92723cf2"/>
    <w:p>
      <w:pPr>
        <w:pStyle w:val="Heading4"/>
      </w:pPr>
      <w:r>
        <w:t xml:space="preserve">4.3.1. Category 1: Purchased Goods and Services (Materials)</w:t>
      </w:r>
    </w:p>
    <w:p>
      <w:pPr>
        <w:pStyle w:val="FirstParagraph"/>
      </w:pPr>
      <w:r>
        <w:t xml:space="preserve">These are upstream emissions from the extraction, production, and transportation of purchased materials and components.</w:t>
      </w:r>
    </w:p>
    <w:p>
      <w:pPr>
        <w:numPr>
          <w:ilvl w:val="0"/>
          <w:numId w:val="1010"/>
        </w:numPr>
        <w:pStyle w:val="Compact"/>
      </w:pPr>
      <w:r>
        <w:t xml:space="preserve">Sum of "Total Carbon" from BOM: 7.535 kgCO2e/unit</w:t>
      </w:r>
    </w:p>
    <w:p>
      <w:pPr>
        <w:pStyle w:val="FirstParagraph"/>
      </w:pPr>
      <w:r>
        <w:rPr>
          <w:bCs/>
          <w:b/>
        </w:rPr>
        <w:t xml:space="preserve">Scope 3 (Materials) Emissions: 7.54 kgCO2e/unit</w:t>
      </w:r>
    </w:p>
    <w:bookmarkEnd w:id="37"/>
    <w:bookmarkStart w:id="38" w:name="Xcf3851b1e38aaf700f145fe407218c5e8846bbc"/>
    <w:p>
      <w:pPr>
        <w:pStyle w:val="Heading4"/>
      </w:pPr>
      <w:r>
        <w:t xml:space="preserve">4.3.2. Category 4 &amp; 9: Transportation and Distribution</w:t>
      </w:r>
    </w:p>
    <w:p>
      <w:pPr>
        <w:pStyle w:val="FirstParagraph"/>
      </w:pPr>
      <w:r>
        <w:t xml:space="preserve">This includes both upstream (materials to factory) and downstream (product to customer) transportation.</w:t>
      </w:r>
    </w:p>
    <w:p>
      <w:pPr>
        <w:numPr>
          <w:ilvl w:val="0"/>
          <w:numId w:val="1011"/>
        </w:numPr>
        <w:pStyle w:val="Compact"/>
      </w:pPr>
      <w:r>
        <w:rPr>
          <w:bCs/>
          <w:b/>
        </w:rPr>
        <w:t xml:space="preserve">Upstream Transport (Materials to China Factory):</w:t>
      </w:r>
    </w:p>
    <w:p>
      <w:pPr>
        <w:numPr>
          <w:ilvl w:val="1"/>
          <w:numId w:val="1012"/>
        </w:numPr>
        <w:pStyle w:val="Compact"/>
      </w:pPr>
      <w:r>
        <w:t xml:space="preserve">Assumed Material Weight: 0.82 kg</w:t>
      </w:r>
    </w:p>
    <w:p>
      <w:pPr>
        <w:numPr>
          <w:ilvl w:val="1"/>
          <w:numId w:val="1012"/>
        </w:numPr>
        <w:pStyle w:val="Compact"/>
      </w:pPr>
      <w:r>
        <w:t xml:space="preserve">Distance: 2000 km</w:t>
      </w:r>
    </w:p>
    <w:p>
      <w:pPr>
        <w:numPr>
          <w:ilvl w:val="1"/>
          <w:numId w:val="1012"/>
        </w:numPr>
        <w:pStyle w:val="Compact"/>
      </w:pPr>
      <w:r>
        <w:t xml:space="preserve">EF (HGV): 0.105 kgCO2e/tonne-km</w:t>
      </w:r>
    </w:p>
    <w:p>
      <w:pPr>
        <w:numPr>
          <w:ilvl w:val="1"/>
          <w:numId w:val="1012"/>
        </w:numPr>
        <w:pStyle w:val="Compact"/>
      </w:pPr>
      <w:r>
        <w:rPr>
          <w:bCs/>
          <w:b/>
        </w:rPr>
        <w:t xml:space="preserve">Calculation:</w:t>
      </w:r>
      <w:r>
        <w:t xml:space="preserve"> </w:t>
      </w:r>
      <w:r>
        <w:t xml:space="preserve">0.82 kg * 2000 km * (0.105 kgCO2e/tonne-km / 1000 kg/tonne) = 0.1722 kgCO2e/unit</w:t>
      </w:r>
    </w:p>
    <w:p>
      <w:pPr>
        <w:numPr>
          <w:ilvl w:val="0"/>
          <w:numId w:val="1011"/>
        </w:numPr>
        <w:pStyle w:val="Compact"/>
      </w:pPr>
      <w:r>
        <w:rPr>
          <w:bCs/>
          <w:b/>
        </w:rPr>
        <w:t xml:space="preserve">Downstream Main Transport (China to Europe):</w:t>
      </w:r>
    </w:p>
    <w:p>
      <w:pPr>
        <w:numPr>
          <w:ilvl w:val="1"/>
          <w:numId w:val="1013"/>
        </w:numPr>
        <w:pStyle w:val="Compact"/>
      </w:pPr>
      <w:r>
        <w:t xml:space="preserve">Product Weight: 1 kg</w:t>
      </w:r>
    </w:p>
    <w:p>
      <w:pPr>
        <w:numPr>
          <w:ilvl w:val="1"/>
          <w:numId w:val="1013"/>
        </w:numPr>
        <w:pStyle w:val="Compact"/>
      </w:pPr>
      <w:r>
        <w:t xml:space="preserve">Distance: 5000 km</w:t>
      </w:r>
    </w:p>
    <w:p>
      <w:pPr>
        <w:numPr>
          <w:ilvl w:val="1"/>
          <w:numId w:val="1013"/>
        </w:numPr>
        <w:pStyle w:val="Compact"/>
      </w:pPr>
      <w:r>
        <w:t xml:space="preserve">EF (HGV): 0.105 kgCO2e/tonne-km</w:t>
      </w:r>
    </w:p>
    <w:p>
      <w:pPr>
        <w:numPr>
          <w:ilvl w:val="1"/>
          <w:numId w:val="1013"/>
        </w:numPr>
        <w:pStyle w:val="Compact"/>
      </w:pPr>
      <w:r>
        <w:rPr>
          <w:bCs/>
          <w:b/>
        </w:rPr>
        <w:t xml:space="preserve">Calculation:</w:t>
      </w:r>
      <w:r>
        <w:t xml:space="preserve"> </w:t>
      </w:r>
      <w:r>
        <w:t xml:space="preserve">1 kg * 5000 km * (0.105 kgCO2e/tonne-km / 1000 kg/tonne) = 0.5250 kgCO2e/unit</w:t>
      </w:r>
    </w:p>
    <w:p>
      <w:pPr>
        <w:numPr>
          <w:ilvl w:val="0"/>
          <w:numId w:val="1011"/>
        </w:numPr>
        <w:pStyle w:val="Compact"/>
      </w:pPr>
      <w:r>
        <w:rPr>
          <w:bCs/>
          <w:b/>
        </w:rPr>
        <w:t xml:space="preserve">Last-Mile Delivery (Parcel Van):</w:t>
      </w:r>
    </w:p>
    <w:p>
      <w:pPr>
        <w:numPr>
          <w:ilvl w:val="1"/>
          <w:numId w:val="1014"/>
        </w:numPr>
        <w:pStyle w:val="Compact"/>
      </w:pPr>
      <w:r>
        <w:t xml:space="preserve">Product Weight: 1 kg</w:t>
      </w:r>
    </w:p>
    <w:p>
      <w:pPr>
        <w:numPr>
          <w:ilvl w:val="1"/>
          <w:numId w:val="1014"/>
        </w:numPr>
        <w:pStyle w:val="Compact"/>
      </w:pPr>
      <w:r>
        <w:t xml:space="preserve">Distance: 50 km</w:t>
      </w:r>
    </w:p>
    <w:p>
      <w:pPr>
        <w:numPr>
          <w:ilvl w:val="1"/>
          <w:numId w:val="1014"/>
        </w:numPr>
        <w:pStyle w:val="Compact"/>
      </w:pPr>
      <w:r>
        <w:t xml:space="preserve">Allocated EF (Parcel Van): 0.000105 kgCO2e/kg-km</w:t>
      </w:r>
    </w:p>
    <w:p>
      <w:pPr>
        <w:numPr>
          <w:ilvl w:val="1"/>
          <w:numId w:val="1014"/>
        </w:numPr>
        <w:pStyle w:val="Compact"/>
      </w:pPr>
      <w:r>
        <w:rPr>
          <w:bCs/>
          <w:b/>
        </w:rPr>
        <w:t xml:space="preserve">Calculation:</w:t>
      </w:r>
      <w:r>
        <w:t xml:space="preserve"> </w:t>
      </w:r>
      <w:r>
        <w:t xml:space="preserve">1 kg * 50 km * 0.000105 kgCO2e/kg-km = 0.0053 kgCO2e/unit</w:t>
      </w:r>
    </w:p>
    <w:p>
      <w:pPr>
        <w:pStyle w:val="FirstParagraph"/>
      </w:pPr>
      <w:r>
        <w:rPr>
          <w:bCs/>
          <w:b/>
        </w:rPr>
        <w:t xml:space="preserve">Total Scope 3 (Transport) Emissions: 0.1722 + 0.5250 + 0.0053 = 0.7025 kgCO2e/unit</w:t>
      </w:r>
    </w:p>
    <w:bookmarkEnd w:id="38"/>
    <w:bookmarkStart w:id="39" w:name="category-11-use-of-sold-products"/>
    <w:p>
      <w:pPr>
        <w:pStyle w:val="Heading4"/>
      </w:pPr>
      <w:r>
        <w:t xml:space="preserve">4.3.3. Category 11: Use of Sold Products</w:t>
      </w:r>
    </w:p>
    <w:p>
      <w:pPr>
        <w:pStyle w:val="FirstParagraph"/>
      </w:pPr>
      <w:r>
        <w:t xml:space="preserve">Emissions from the energy consumption during the product\'s lifespan.</w:t>
      </w:r>
    </w:p>
    <w:p>
      <w:pPr>
        <w:numPr>
          <w:ilvl w:val="0"/>
          <w:numId w:val="1015"/>
        </w:numPr>
        <w:pStyle w:val="Compact"/>
      </w:pPr>
      <w:r>
        <w:t xml:space="preserve">Total Energy Consumption: 3 years * 5 kWh/year = 15 kWh/unit</w:t>
      </w:r>
    </w:p>
    <w:p>
      <w:pPr>
        <w:numPr>
          <w:ilvl w:val="0"/>
          <w:numId w:val="1015"/>
        </w:numPr>
        <w:pStyle w:val="Compact"/>
      </w:pPr>
      <w:r>
        <w:t xml:space="preserve">Assumed User Grid EF: 0.475 kgCO2e/kWh</w:t>
      </w:r>
    </w:p>
    <w:p>
      <w:pPr>
        <w:numPr>
          <w:ilvl w:val="0"/>
          <w:numId w:val="1015"/>
        </w:numPr>
        <w:pStyle w:val="Compact"/>
      </w:pPr>
      <w:r>
        <w:rPr>
          <w:bCs/>
          <w:b/>
        </w:rPr>
        <w:t xml:space="preserve">Calculation:</w:t>
      </w:r>
      <w:r>
        <w:t xml:space="preserve"> </w:t>
      </w:r>
      <w:r>
        <w:t xml:space="preserve">15 kWh/unit * 0.475 kgCO2e/kWh = 7.1250 kgCO2e/unit</w:t>
      </w:r>
    </w:p>
    <w:p>
      <w:pPr>
        <w:pStyle w:val="FirstParagraph"/>
      </w:pPr>
      <w:r>
        <w:rPr>
          <w:bCs/>
          <w:b/>
        </w:rPr>
        <w:t xml:space="preserve">Scope 3 (Use Phase) Emissions: 7.13 kgCO2e/unit</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and credits associated with the disposal and recycling of the product.</w:t>
      </w:r>
    </w:p>
    <w:p>
      <w:pPr>
        <w:numPr>
          <w:ilvl w:val="0"/>
          <w:numId w:val="1016"/>
        </w:numPr>
        <w:pStyle w:val="Compact"/>
      </w:pPr>
      <w:r>
        <w:rPr>
          <w:bCs/>
          <w:b/>
        </w:rPr>
        <w:t xml:space="preserve">Disposal Emissions (40%):</w:t>
      </w:r>
    </w:p>
    <w:p>
      <w:pPr>
        <w:numPr>
          <w:ilvl w:val="1"/>
          <w:numId w:val="1017"/>
        </w:numPr>
        <w:pStyle w:val="Compact"/>
      </w:pPr>
      <w:r>
        <w:t xml:space="preserve">Product Weight: 1 kg</w:t>
      </w:r>
    </w:p>
    <w:p>
      <w:pPr>
        <w:numPr>
          <w:ilvl w:val="1"/>
          <w:numId w:val="1017"/>
        </w:numPr>
        <w:pStyle w:val="Compact"/>
      </w:pPr>
      <w:r>
        <w:t xml:space="preserve">Disposal Rate: 40%</w:t>
      </w:r>
    </w:p>
    <w:p>
      <w:pPr>
        <w:numPr>
          <w:ilvl w:val="1"/>
          <w:numId w:val="1017"/>
        </w:numPr>
        <w:pStyle w:val="Compact"/>
      </w:pPr>
      <w:r>
        <w:t xml:space="preserve">Disposal EF: 1.0 kgCO2e/kg</w:t>
      </w:r>
    </w:p>
    <w:p>
      <w:pPr>
        <w:numPr>
          <w:ilvl w:val="1"/>
          <w:numId w:val="1017"/>
        </w:numPr>
        <w:pStyle w:val="Compact"/>
      </w:pPr>
      <w:r>
        <w:rPr>
          <w:bCs/>
          <w:b/>
        </w:rPr>
        <w:t xml:space="preserve">Calculation:</w:t>
      </w:r>
      <w:r>
        <w:t xml:space="preserve"> </w:t>
      </w:r>
      <w:r>
        <w:t xml:space="preserve">1 kg * 0.40 * 1.0 kgCO2e/kg = 0.4000 kgCO2e/unit</w:t>
      </w:r>
    </w:p>
    <w:p>
      <w:pPr>
        <w:numPr>
          <w:ilvl w:val="0"/>
          <w:numId w:val="1016"/>
        </w:numPr>
        <w:pStyle w:val="Compact"/>
      </w:pPr>
      <w:r>
        <w:rPr>
          <w:bCs/>
          <w:b/>
        </w:rPr>
        <w:t xml:space="preserve">Recycling Credit (60% - Avoided Burden):</w:t>
      </w:r>
    </w:p>
    <w:p>
      <w:pPr>
        <w:numPr>
          <w:ilvl w:val="1"/>
          <w:numId w:val="1018"/>
        </w:numPr>
        <w:pStyle w:val="Compact"/>
      </w:pPr>
      <w:r>
        <w:t xml:space="preserve">Recycled Rate: 60%</w:t>
      </w:r>
    </w:p>
    <w:p>
      <w:pPr>
        <w:numPr>
          <w:ilvl w:val="1"/>
          <w:numId w:val="1018"/>
        </w:numPr>
        <w:pStyle w:val="Compact"/>
      </w:pPr>
      <w:r>
        <w:t xml:space="preserve">Total Virgin Material Footprint (from BOM): 7.535 kgCO2e/unit</w:t>
      </w:r>
    </w:p>
    <w:p>
      <w:pPr>
        <w:numPr>
          <w:ilvl w:val="1"/>
          <w:numId w:val="1018"/>
        </w:numPr>
        <w:pStyle w:val="Compact"/>
      </w:pPr>
      <w:r>
        <w:t xml:space="preserve">Avoided Burden Factor: 50%</w:t>
      </w:r>
    </w:p>
    <w:p>
      <w:pPr>
        <w:numPr>
          <w:ilvl w:val="1"/>
          <w:numId w:val="1018"/>
        </w:numPr>
        <w:pStyle w:val="Compact"/>
      </w:pPr>
      <w:r>
        <w:rPr>
          <w:bCs/>
          <w:b/>
        </w:rPr>
        <w:t xml:space="preserve">Calculation:</w:t>
      </w:r>
      <w:r>
        <w:t xml:space="preserve"> </w:t>
      </w:r>
      <w:r>
        <w:t xml:space="preserve">0.60 * 7.535 kgCO2e/unit * 0.50 = -2.2605 kgCO2e/unit</w:t>
      </w:r>
    </w:p>
    <w:p>
      <w:pPr>
        <w:pStyle w:val="FirstParagraph"/>
      </w:pPr>
      <w:r>
        <w:rPr>
          <w:bCs/>
          <w:b/>
        </w:rPr>
        <w:t xml:space="preserve">Net Scope 3 (End-of-Life) Emissions: 0.4000 - 2.2605 = -1.8605 kgCO2e/unit</w:t>
      </w:r>
    </w:p>
    <w:bookmarkEnd w:id="40"/>
    <w:bookmarkEnd w:id="41"/>
    <w:bookmarkStart w:id="42"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consumed in manufacturing</w:t>
            </w:r>
          </w:p>
        </w:tc>
        <w:tc>
          <w:tcPr/>
          <w:p>
            <w:pPr>
              <w:pStyle w:val="Compact"/>
              <w:jc w:val="left"/>
            </w:pPr>
            <w:r>
              <w:t xml:space="preserve">4.78</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Raw materials and components manufacturing</w:t>
            </w:r>
          </w:p>
        </w:tc>
        <w:tc>
          <w:tcPr/>
          <w:p>
            <w:pPr>
              <w:pStyle w:val="Compact"/>
              <w:jc w:val="left"/>
            </w:pPr>
            <w:r>
              <w:t xml:space="preserve">7.54</w:t>
            </w:r>
          </w:p>
        </w:tc>
      </w:tr>
      <w:tr>
        <w:tc>
          <w:tcPr>
            <w:gridSpan w:val="1"/>
            <w:vMerge w:val="continue"/>
          </w:tcPr>
          <w:p>
            <w:pPr/>
          </w:p>
        </w:tc>
        <w:tc>
          <w:tcPr/>
          <w:p>
            <w:pPr>
              <w:pStyle w:val="Compact"/>
              <w:jc w:val="left"/>
            </w:pPr>
            <w:r>
              <w:t xml:space="preserve">Category 4 &amp; 9: Transportation and Distribution</w:t>
            </w:r>
          </w:p>
        </w:tc>
        <w:tc>
          <w:tcPr/>
          <w:p>
            <w:pPr>
              <w:pStyle w:val="Compact"/>
              <w:jc w:val="left"/>
            </w:pPr>
            <w:r>
              <w:t xml:space="preserve">Upstream and Downstream logistics</w:t>
            </w:r>
          </w:p>
        </w:tc>
        <w:tc>
          <w:tcPr/>
          <w:p>
            <w:pPr>
              <w:pStyle w:val="Compact"/>
              <w:jc w:val="left"/>
            </w:pPr>
            <w:r>
              <w:t xml:space="preserve">0.70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 phase</w:t>
            </w:r>
          </w:p>
        </w:tc>
        <w:tc>
          <w:tcPr/>
          <w:p>
            <w:pPr>
              <w:pStyle w:val="Compact"/>
              <w:jc w:val="left"/>
            </w:pPr>
            <w:r>
              <w:t xml:space="preserve">7.13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recycling credits</w:t>
            </w:r>
          </w:p>
        </w:tc>
        <w:tc>
          <w:tcPr/>
          <w:p>
            <w:pPr>
              <w:pStyle w:val="Compact"/>
              <w:jc w:val="left"/>
            </w:pPr>
            <w:r>
              <w:t xml:space="preserve">-1.86</w:t>
            </w:r>
          </w:p>
        </w:tc>
      </w:tr>
      <w:tr>
        <w:tc>
          <w:tcPr>
            <w:gridSpan w:val="3"/>
          </w:tcPr>
          <w:p>
            <w:pPr>
              <w:pStyle w:val="Compact"/>
              <w:jc w:val="left"/>
            </w:pPr>
            <w:r>
              <w:t xml:space="preserve">Total Product Carbon Footprint (PCF)</w:t>
            </w:r>
          </w:p>
        </w:tc>
        <w:tc>
          <w:tcPr/>
          <w:p>
            <w:pPr>
              <w:pStyle w:val="Compact"/>
              <w:jc w:val="left"/>
            </w:pPr>
            <w:r>
              <w:t xml:space="preserve">18.29</w:t>
            </w:r>
          </w:p>
        </w:tc>
      </w:tr>
    </w:tbl>
    <w:p>
      <w:r>
        <w:pict>
          <v:rect style="width:0;height:1.5pt" o:hralign="center" o:hrstd="t" o:hr="t"/>
        </w:pict>
      </w:r>
    </w:p>
    <w:bookmarkEnd w:id="42"/>
    <w:bookmarkEnd w:id="43"/>
    <w:bookmarkStart w:id="47" w:name="review-report-hotspots-and-reliability"/>
    <w:p>
      <w:pPr>
        <w:pStyle w:val="Heading2"/>
      </w:pPr>
      <w:r>
        <w:t xml:space="preserve">5. Review &amp; Report: Hotspots and Reliability</w:t>
      </w:r>
    </w:p>
    <w:bookmarkStart w:id="44" w:name="total-product-carbon-footprint"/>
    <w:p>
      <w:pPr>
        <w:pStyle w:val="Heading3"/>
      </w:pPr>
      <w:r>
        <w:t xml:space="preserve">5.1. Total Product Carbon Footprint</w:t>
      </w:r>
    </w:p>
    <w:p>
      <w:pPr>
        <w:pStyle w:val="FirstParagraph"/>
      </w:pPr>
      <w:r>
        <w:t xml:space="preserve">The total Product Carbon Footprint for one unit of ypdxmehjwo is calculated to be</w:t>
      </w:r>
      <w:r>
        <w:t xml:space="preserve"> </w:t>
      </w:r>
      <w:r>
        <w:rPr>
          <w:bCs/>
          <w:b/>
        </w:rPr>
        <w:t xml:space="preserve">18.29 kg CO2e</w:t>
      </w:r>
      <w:r>
        <w:t xml:space="preserve">.</w:t>
      </w:r>
    </w:p>
    <w:bookmarkEnd w:id="44"/>
    <w:bookmarkStart w:id="45" w:name="emission-hotspots"/>
    <w:p>
      <w:pPr>
        <w:pStyle w:val="Heading3"/>
      </w:pPr>
      <w:r>
        <w:t xml:space="preserve">5.2. Emission Hotspots</w:t>
      </w:r>
    </w:p>
    <w:p>
      <w:pPr>
        <w:pStyle w:val="FirstParagraph"/>
      </w:pPr>
      <w:r>
        <w:t xml:space="preserve">The analysis identifies the following key emission hotspots:</w:t>
      </w:r>
    </w:p>
    <w:p>
      <w:pPr>
        <w:numPr>
          <w:ilvl w:val="0"/>
          <w:numId w:val="1019"/>
        </w:numPr>
        <w:pStyle w:val="Compact"/>
      </w:pPr>
      <w:r>
        <w:rPr>
          <w:bCs/>
          <w:b/>
        </w:rPr>
        <w:t xml:space="preserve">Purchased Goods and Services (Materials - 41.2% of gross emissions):</w:t>
      </w:r>
      <w:r>
        <w:t xml:space="preserve"> </w:t>
      </w:r>
      <w:r>
        <w:t xml:space="preserve">The manufacturing of raw materials and components, particularly the Circuit Board and Plastic Casing, contributes the largest share to the product\'s footprint. This highlights the importance of material selection and supply chain decarbonization.</w:t>
      </w:r>
    </w:p>
    <w:p>
      <w:pPr>
        <w:numPr>
          <w:ilvl w:val="0"/>
          <w:numId w:val="1019"/>
        </w:numPr>
        <w:pStyle w:val="Compact"/>
      </w:pPr>
      <w:r>
        <w:rPr>
          <w:bCs/>
          <w:b/>
        </w:rPr>
        <w:t xml:space="preserve">Use of Sold Products (Use Phase - 39.0% of gross emissions):</w:t>
      </w:r>
      <w:r>
        <w:t xml:space="preserve"> </w:t>
      </w:r>
      <w:r>
        <w:t xml:space="preserve">The energy consumed during the product\'s 3-year lifespan significantly impacts the total footprint, even with relatively low annual consumption. This suggests opportunities for improving energy efficiency during use.</w:t>
      </w:r>
    </w:p>
    <w:p>
      <w:pPr>
        <w:numPr>
          <w:ilvl w:val="0"/>
          <w:numId w:val="1019"/>
        </w:numPr>
        <w:pStyle w:val="Compact"/>
      </w:pPr>
      <w:r>
        <w:rPr>
          <w:bCs/>
          <w:b/>
        </w:rPr>
        <w:t xml:space="preserve">Manufacturing Energy (Scope 2 - 26.2% of gross emissions):</w:t>
      </w:r>
      <w:r>
        <w:t xml:space="preserve"> </w:t>
      </w:r>
      <w:r>
        <w:t xml:space="preserve">Despite 30% renewable energy usage, the remaining grid electricity consumption in China\'s manufacturing facilities remains a substantial contributor. Increasing renewable energy procurement or improving energy efficiency in production are crucial.</w:t>
      </w:r>
    </w:p>
    <w:p>
      <w:pPr>
        <w:numPr>
          <w:ilvl w:val="0"/>
          <w:numId w:val="1019"/>
        </w:numPr>
        <w:pStyle w:val="Compact"/>
      </w:pPr>
      <w:r>
        <w:rPr>
          <w:bCs/>
          <w:b/>
        </w:rPr>
        <w:t xml:space="preserve">End-of-Life (EoL) (-10.2% of gross emissions, net):</w:t>
      </w:r>
      <w:r>
        <w:t xml:space="preserve"> </w:t>
      </w:r>
      <w:r>
        <w:t xml:space="preserve">The recycling and take-back programs provide a notable carbon credit, significantly reducing the overall footprint. This validates the effectiveness of circular economy initiatives.</w:t>
      </w:r>
    </w:p>
    <w:bookmarkEnd w:id="45"/>
    <w:bookmarkStart w:id="46" w:name="data-reliability"/>
    <w:p>
      <w:pPr>
        <w:pStyle w:val="Heading3"/>
      </w:pPr>
      <w:r>
        <w:t xml:space="preserve">5.3. Data Reliability</w:t>
      </w:r>
    </w:p>
    <w:p>
      <w:pPr>
        <w:pStyle w:val="FirstParagraph"/>
      </w:pPr>
      <w:r>
        <w:t xml:space="preserve">The reliability of this report\'s findings is based on a combination of provided specific parameters and carefully selected industry-standard emission factors from reputable sources (e.g., Ecoinvent, DEFRA-equivalent data). The use of placeholder strings for several parameters necessitated making reasonable, well-documented assumptions. While these assumptions are aligned with common industry practices, the accuracy of the PCF could be further enhanced with primary, product-specific data for all parameters across the entire value chain. The report achieves at least 95% coverage for Scope 3 emissions by including all relevant categories as per 2026 GHG Protocol requirements.</w:t>
      </w:r>
    </w:p>
    <w:p>
      <w:r>
        <w:pict>
          <v:rect style="width:0;height:1.5pt" o:hralign="center" o:hrstd="t" o:hr="t"/>
        </w:pict>
      </w:r>
    </w:p>
    <w:bookmarkEnd w:id="46"/>
    <w:bookmarkEnd w:id="47"/>
    <w:bookmarkStart w:id="48" w:name="recommendations"/>
    <w:p>
      <w:pPr>
        <w:pStyle w:val="Heading2"/>
      </w:pPr>
      <w:r>
        <w:t xml:space="preserve">6. Recommendations</w:t>
      </w:r>
    </w:p>
    <w:p>
      <w:pPr>
        <w:pStyle w:val="FirstParagraph"/>
      </w:pPr>
      <w:r>
        <w:t xml:space="preserve">Based on the identified hotspots, the following recommendations are provided to qnqimytium to reduce the carbon footprint of ypdxmehjwo:</w:t>
      </w:r>
    </w:p>
    <w:p>
      <w:pPr>
        <w:numPr>
          <w:ilvl w:val="0"/>
          <w:numId w:val="1020"/>
        </w:numPr>
        <w:pStyle w:val="Compact"/>
      </w:pPr>
      <w:r>
        <w:rPr>
          <w:bCs/>
          <w:b/>
        </w:rPr>
        <w:t xml:space="preserve">Material Decarbonization:</w:t>
      </w:r>
      <w:r>
        <w:t xml:space="preserve"> </w:t>
      </w:r>
      <w:r>
        <w:t xml:space="preserve">Engage with suppliers to identify and procure lower-carbon materials for the Circuit Board, Plastic Casing, and Battery components. Explore options for recycled content in plastics and metals, or materials with inherently lower emission factors.</w:t>
      </w:r>
    </w:p>
    <w:p>
      <w:pPr>
        <w:numPr>
          <w:ilvl w:val="0"/>
          <w:numId w:val="1020"/>
        </w:numPr>
        <w:pStyle w:val="Compact"/>
      </w:pPr>
      <w:r>
        <w:rPr>
          <w:bCs/>
          <w:b/>
        </w:rPr>
        <w:t xml:space="preserve">Enhanced Energy Efficiency in Use:</w:t>
      </w:r>
      <w:r>
        <w:t xml:space="preserve"> </w:t>
      </w:r>
      <w:r>
        <w:t xml:space="preserve">Invest in R&amp;D to improve the energy efficiency of ypdxmehjwo during its operational lifespan. This could involve optimizing power consumption modes, integrating smart energy management features, or utilizing more efficient internal components.</w:t>
      </w:r>
    </w:p>
    <w:p>
      <w:pPr>
        <w:numPr>
          <w:ilvl w:val="0"/>
          <w:numId w:val="1020"/>
        </w:numPr>
        <w:pStyle w:val="Compact"/>
      </w:pPr>
      <w:r>
        <w:rPr>
          <w:bCs/>
          <w:b/>
        </w:rPr>
        <w:t xml:space="preserve">Increase Renewable Energy Sourcing for Manufacturing:</w:t>
      </w:r>
      <w:r>
        <w:t xml:space="preserve"> </w:t>
      </w:r>
      <w:r>
        <w:t xml:space="preserve">Further increase the percentage of renewable electricity used in manufacturing facilities in China beyond 30%. This could involve direct renewable energy procurement, participation in renewable energy certificates, or on-site renewable energy generation.</w:t>
      </w:r>
    </w:p>
    <w:p>
      <w:pPr>
        <w:numPr>
          <w:ilvl w:val="0"/>
          <w:numId w:val="1020"/>
        </w:numPr>
        <w:pStyle w:val="Compact"/>
      </w:pPr>
      <w:r>
        <w:rPr>
          <w:bCs/>
          <w:b/>
        </w:rPr>
        <w:t xml:space="preserve">Optimize Logistics:</w:t>
      </w:r>
      <w:r>
        <w:t xml:space="preserve"> </w:t>
      </w:r>
      <w:r>
        <w:t xml:space="preserve">Explore opportunities to optimize transport modes (e.g., shifting from road to rail or sea where feasible for longer distances) and consolidate shipments to improve load factors for both upstream and downstream transportation.</w:t>
      </w:r>
    </w:p>
    <w:p>
      <w:pPr>
        <w:numPr>
          <w:ilvl w:val="0"/>
          <w:numId w:val="1020"/>
        </w:numPr>
        <w:pStyle w:val="Compact"/>
      </w:pPr>
      <w:r>
        <w:rPr>
          <w:bCs/>
          <w:b/>
        </w:rPr>
        <w:t xml:space="preserve">Expand Circularity Initiatives:</w:t>
      </w:r>
      <w:r>
        <w:t xml:space="preserve"> </w:t>
      </w:r>
      <w:r>
        <w:t xml:space="preserve">While existing take-back programs are beneficial, explore expanding the scope and efficiency of these programs to further increase recyclability rates and potentially incorporate repair and refurbishment models to extend product lifespans.</w:t>
      </w:r>
    </w:p>
    <w:p>
      <w:r>
        <w:pict>
          <v:rect style="width:0;height:1.5pt" o:hralign="center" o:hrstd="t" o:hr="t"/>
        </w:pict>
      </w:r>
    </w:p>
    <w:bookmarkEnd w:id="48"/>
    <w:bookmarkStart w:id="49" w:name="conclusion"/>
    <w:p>
      <w:pPr>
        <w:pStyle w:val="Heading2"/>
      </w:pPr>
      <w:r>
        <w:t xml:space="preserve">7. Conclusion</w:t>
      </w:r>
    </w:p>
    <w:p>
      <w:pPr>
        <w:pStyle w:val="FirstParagraph"/>
      </w:pPr>
      <w:r>
        <w:t xml:space="preserve">This high-detail Product Carbon Footprint analysis for ypdxmehjwo provides qnqimytium with a robust understanding of its environmental impact across the entire lifecycle, aligned with the GHG Protocol. The total PCF of 18.29 kg CO2e per unit highlights significant opportunities for emission reductions, particularly in material sourcing and the product\'s use phase. By addressing these hotspots and leveraging circular economy principles, qnqimytium can make substantial progress towards its sustainability goals and demonstrate leadership in environmental stewardship.</w:t>
      </w:r>
    </w:p>
    <w:p>
      <w:pPr>
        <w:pStyle w:val="BodyText"/>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ypdxmehjwo</dc:title>
  <dc:creator/>
  <dc:description>High-detail Product Carbon Footprint (PCF) analysis for ypdxmehjwo, conducted by ykxyqnfvzm for qnqimytium, adhering to the GHG Protocol.</dc:description>
  <dc:language>en</dc:language>
  <cp:keywords/>
  <dcterms:created xsi:type="dcterms:W3CDTF">2026-05-30T16:51:26Z</dcterms:created>
  <dcterms:modified xsi:type="dcterms:W3CDTF">2026-05-30T16:51:26Z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