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ylrpksiznh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ylrpksiznh</w:t>
      </w:r>
    </w:p>
    <w:p>
      <w:pPr>
        <w:pStyle w:val="BodyText"/>
      </w:pPr>
      <w:r>
        <w:rPr>
          <w:bCs/>
          <w:b/>
        </w:rPr>
        <w:t xml:space="preserve">Company:</w:t>
      </w:r>
      <w:r>
        <w:t xml:space="preserve"> </w:t>
      </w:r>
      <w:r>
        <w:t xml:space="preserve">hztlmgjshf</w:t>
      </w:r>
    </w:p>
    <w:p>
      <w:pPr>
        <w:pStyle w:val="BodyText"/>
      </w:pPr>
      <w:r>
        <w:rPr>
          <w:bCs/>
          <w:b/>
        </w:rPr>
        <w:t xml:space="preserve">Senior Sustainability Consultant:</w:t>
      </w:r>
      <w:r>
        <w:t xml:space="preserve"> </w:t>
      </w:r>
      <w:r>
        <w:t xml:space="preserve">twzxpeufeg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adherence to best practices, specific data limitations and assumptions may influence the final results.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ylrpksiznh</w:t>
      </w:r>
    </w:p>
    <w:p>
      <w:pPr>
        <w:pStyle w:val="BodyText"/>
      </w:pPr>
      <w:r>
        <w:rPr>
          <w:bCs/>
          <w:b/>
        </w:rPr>
        <w:t xml:space="preserve">Company:</w:t>
      </w:r>
      <w:r>
        <w:t xml:space="preserve"> </w:t>
      </w:r>
      <w:r>
        <w:t xml:space="preserve">hztlmgjshf</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ylrpksiznh, manufactured by hztlmgjshf. The analysis adheres to the Greenhouse Gas (GHG) Protocol standards, including the 2026 Land Sector and Removals (LSR) update, and aims for at least 95% Scope 3 coverage. The functional unit for this study is 1.0 unit of ylrpksiznh, with a cradle-to-gate system boundary for direct manufacturing, extended to include the use phase and end-of-life impacts. Key emission hotspots identified include material acquisition and processing, manufacturing energy, and the use phase. Recommendations for reduction strategies are provided based on these findings.</w:t>
      </w:r>
    </w:p>
    <w:p>
      <w:r>
        <w:pict>
          <v:rect style="width:0;height:1.5pt" o:hralign="center" o:hrstd="t" o:hr="t"/>
        </w:pict>
      </w:r>
    </w:p>
    <w:bookmarkEnd w:id="22"/>
    <w:bookmarkStart w:id="27" w:name="introduction-and-goal-definition"/>
    <w:p>
      <w:pPr>
        <w:pStyle w:val="Heading2"/>
      </w:pPr>
      <w:r>
        <w:t xml:space="preserve">1. Introduction and Goal Definition</w:t>
      </w:r>
    </w:p>
    <w:p>
      <w:pPr>
        <w:pStyle w:val="FirstParagraph"/>
      </w:pPr>
      <w:r>
        <w:t xml:space="preserve">The primary goal of this Product Carbon Footprint (PCF) study is to quantify the greenhouse gas (GHG) emissions associated with the product ylrpksiznh across its lifecycle, from raw material extraction to end-of-life. This assessment aims to identify emission hotspots, inform sustainability strategies for hztlmgjshf, and provide transparent reporting to stakeholders.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ylrpksiznh</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primarily</w:t>
      </w:r>
      <w:r>
        <w:t xml:space="preserve"> </w:t>
      </w:r>
      <w:r>
        <w:rPr>
          <w:bCs/>
          <w:b/>
        </w:rPr>
        <w:t xml:space="preserve">factory_gate</w:t>
      </w:r>
      <w:r>
        <w:t xml:space="preserve">, encompassing all upstream processes from raw material extraction, processing, and transportation to the final production facility. This report further extends the analysis to include the product\'s use phase and end-of-life (cradle-to-grave perspective for a more holistic view).</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transport)</w:t>
      </w:r>
    </w:p>
    <w:bookmarkEnd w:id="25"/>
    <w:bookmarkStart w:id="26" w:name="accounting-standard"/>
    <w:p>
      <w:pPr>
        <w:pStyle w:val="Heading3"/>
      </w:pPr>
      <w:r>
        <w:t xml:space="preserve">1.4. 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incorporates considerations from the</w:t>
      </w:r>
      <w:r>
        <w:t xml:space="preserve"> </w:t>
      </w:r>
      <w:r>
        <w:rPr>
          <w:bCs/>
          <w:b/>
        </w:rPr>
        <w:t xml:space="preserve">2026 Land Sector and Removals (LSR) Standard update</w:t>
      </w:r>
      <w:r>
        <w:t xml:space="preserve">, which provides enhanced guidance for accounting for land sector emissions (e.g., land use change, land management, biogenic products) and CO2 removals. While specific land-use data for ylrpksiznh is not provided in the Bill of Materials, its implications for upstream bio-based material sourcing and carbon removal projects are acknowledged and will be integrated conceptually where relevant for future assessments.</w:t>
      </w:r>
    </w:p>
    <w:p>
      <w:r>
        <w:pict>
          <v:rect style="width:0;height:1.5pt" o:hralign="center" o:hrstd="t" o:hr="t"/>
        </w:pict>
      </w:r>
    </w:p>
    <w:bookmarkEnd w:id="26"/>
    <w:bookmarkEnd w:id="27"/>
    <w:bookmarkStart w:id="30" w:name="X5c4f1babde60e279edceee15b145f0a0e623b85"/>
    <w:p>
      <w:pPr>
        <w:pStyle w:val="Heading2"/>
      </w:pPr>
      <w:r>
        <w:t xml:space="preserve">2. Lifecycle Mapping and Inventory Stages (LCI)</w:t>
      </w:r>
    </w:p>
    <w:p>
      <w:pPr>
        <w:pStyle w:val="FirstParagraph"/>
      </w:pPr>
      <w:r>
        <w:t xml:space="preserve">The lifecycle of ylrpksiznh is mapped into the following key stages, for which an inventory of inputs and outputs is developed:</w:t>
      </w:r>
    </w:p>
    <w:p>
      <w:pPr>
        <w:numPr>
          <w:ilvl w:val="0"/>
          <w:numId w:val="1002"/>
        </w:numPr>
        <w:pStyle w:val="Compact"/>
      </w:pPr>
      <w:r>
        <w:rPr>
          <w:bCs/>
          <w:b/>
        </w:rPr>
        <w:t xml:space="preserve">Raw Material Acquisition &amp; Pre-processing:</w:t>
      </w:r>
      <w:r>
        <w:t xml:space="preserve"> </w:t>
      </w:r>
      <w:r>
        <w:t xml:space="preserve">This stage includes the extraction, cultivation, and initial processing of all materials listed in the Bill of Materials (BOM), considering a Europe-focused supply chain for these materials.</w:t>
      </w:r>
    </w:p>
    <w:p>
      <w:pPr>
        <w:numPr>
          <w:ilvl w:val="0"/>
          <w:numId w:val="1002"/>
        </w:numPr>
        <w:pStyle w:val="Compact"/>
      </w:pPr>
      <w:r>
        <w:rPr>
          <w:bCs/>
          <w:b/>
        </w:rPr>
        <w:t xml:space="preserve">Manufacturing:</w:t>
      </w:r>
      <w:r>
        <w:t xml:space="preserve"> </w:t>
      </w:r>
      <w:r>
        <w:t xml:space="preserve">This stage covers the processes occurring at the hztlmgjshf production facility in China, including energy consumption for assembly, fabrication, and finishing.</w:t>
      </w:r>
    </w:p>
    <w:p>
      <w:pPr>
        <w:numPr>
          <w:ilvl w:val="0"/>
          <w:numId w:val="1002"/>
        </w:numPr>
        <w:pStyle w:val="Compact"/>
      </w:pPr>
      <w:r>
        <w:rPr>
          <w:bCs/>
          <w:b/>
        </w:rPr>
        <w:t xml:space="preserve">Transportation (Upstream):</w:t>
      </w:r>
      <w:r>
        <w:t xml:space="preserve"> </w:t>
      </w:r>
      <w:r>
        <w:t xml:space="preserve">Emissions associated with transporting raw materials and components from their European suppliers to the manufacturing facility in China.</w:t>
      </w:r>
    </w:p>
    <w:p>
      <w:pPr>
        <w:numPr>
          <w:ilvl w:val="0"/>
          <w:numId w:val="1002"/>
        </w:numPr>
        <w:pStyle w:val="Compact"/>
      </w:pPr>
      <w:r>
        <w:rPr>
          <w:bCs/>
          <w:b/>
        </w:rPr>
        <w:t xml:space="preserve">Transportation (Downstream - Last-Mile Delivery):</w:t>
      </w:r>
      <w:r>
        <w:t xml:space="preserve"> </w:t>
      </w:r>
      <w:r>
        <w:t xml:space="preserve">Emissions from the final delivery of the product to the end-customer.</w:t>
      </w:r>
    </w:p>
    <w:p>
      <w:pPr>
        <w:numPr>
          <w:ilvl w:val="0"/>
          <w:numId w:val="1002"/>
        </w:numPr>
        <w:pStyle w:val="Compact"/>
      </w:pPr>
      <w:r>
        <w:rPr>
          <w:bCs/>
          <w:b/>
        </w:rPr>
        <w:t xml:space="preserve">Use Phase:</w:t>
      </w:r>
      <w:r>
        <w:t xml:space="preserve"> </w:t>
      </w:r>
      <w:r>
        <w:t xml:space="preserve">Energy consumption during the anticipated lifespan of ylrpksiznh by the end-user.</w:t>
      </w:r>
    </w:p>
    <w:p>
      <w:pPr>
        <w:numPr>
          <w:ilvl w:val="0"/>
          <w:numId w:val="1002"/>
        </w:numPr>
        <w:pStyle w:val="Compact"/>
      </w:pPr>
      <w:r>
        <w:rPr>
          <w:bCs/>
          <w:b/>
        </w:rPr>
        <w:t xml:space="preserve">End-of-Life (EoL):</w:t>
      </w:r>
      <w:r>
        <w:t xml:space="preserve"> </w:t>
      </w:r>
      <w:r>
        <w:t xml:space="preserve">Emissions or credits associated with the disposal, recycling, or recovery of the product and its components at the end of its functional life.</w:t>
      </w:r>
    </w:p>
    <w:bookmarkStart w:id="28" w:name="Xc2656069c02b46efd9f8680fdd6431083bf3bfa"/>
    <w:p>
      <w:pPr>
        <w:pStyle w:val="Heading3"/>
      </w:pPr>
      <w:r>
        <w:t xml:space="preserve">2.1. Detailed Bill of Materials (BOM) Data - Material Inputs</w:t>
      </w:r>
    </w:p>
    <w:p>
      <w:pPr>
        <w:pStyle w:val="FirstParagraph"/>
      </w:pPr>
      <w:r>
        <w:t xml:space="preserve">The following Bill of Materials (BOM) for ylrpksiznh was provided by hztlmgjshf. The \'Total Carbon\' values represent the pre-calculated cradle-to-gate emissions for the specified quantity of each material component. These values are directly used for material impact calculation, ensuring high accuracy as per the client\'s requirement.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Material Carbon Footprint:</w:t>
      </w:r>
      <w:r>
        <w:t xml:space="preserve"> </w:t>
      </w:r>
      <w:r>
        <w:t xml:space="preserve">24.29 kgCO₂e</w:t>
      </w:r>
    </w:p>
    <w:bookmarkEnd w:id="28"/>
    <w:bookmarkStart w:id="29" w:name="energy-inputs-manufacturing-phase"/>
    <w:p>
      <w:pPr>
        <w:pStyle w:val="Heading3"/>
      </w:pPr>
      <w:r>
        <w:t xml:space="preserve">2.2. Energy Inputs (Manufacturing Phase)</w:t>
      </w:r>
    </w:p>
    <w:p>
      <w:pPr>
        <w:numPr>
          <w:ilvl w:val="0"/>
          <w:numId w:val="1003"/>
        </w:numPr>
        <w:pStyle w:val="Compact"/>
      </w:pPr>
      <w:r>
        <w:rPr>
          <w:bCs/>
          <w:b/>
        </w:rPr>
        <w:t xml:space="preserve">Energy Intensity (kWh/unit):</w:t>
      </w:r>
      <w:r>
        <w:t xml:space="preserve"> </w:t>
      </w:r>
      <w:r>
        <w:t xml:space="preserve">2.5 kWh/unit (`vlgflvpsud`)</w:t>
      </w:r>
    </w:p>
    <w:p>
      <w:pPr>
        <w:numPr>
          <w:ilvl w:val="0"/>
          <w:numId w:val="1003"/>
        </w:numPr>
        <w:pStyle w:val="Compact"/>
      </w:pPr>
      <w:r>
        <w:rPr>
          <w:bCs/>
          <w:b/>
        </w:rPr>
        <w:t xml:space="preserve">Renewable Energy Usage:</w:t>
      </w:r>
      <w:r>
        <w:t xml:space="preserve"> </w:t>
      </w:r>
      <w:r>
        <w:t xml:space="preserve">50% (`frurjjifin`)</w:t>
      </w:r>
    </w:p>
    <w:p>
      <w:pPr>
        <w:numPr>
          <w:ilvl w:val="0"/>
          <w:numId w:val="1003"/>
        </w:numPr>
        <w:pStyle w:val="Compact"/>
      </w:pPr>
      <w:r>
        <w:rPr>
          <w:bCs/>
          <w:b/>
        </w:rPr>
        <w:t xml:space="preserve">Final Production Country:</w:t>
      </w:r>
      <w:r>
        <w:t xml:space="preserve"> </w:t>
      </w:r>
      <w:r>
        <w:t xml:space="preserve">China</w:t>
      </w:r>
    </w:p>
    <w:p>
      <w:r>
        <w:pict>
          <v:rect style="width:0;height:1.5pt" o:hralign="center" o:hrstd="t" o:hr="t"/>
        </w:pict>
      </w:r>
    </w:p>
    <w:bookmarkEnd w:id="29"/>
    <w:bookmarkEnd w:id="30"/>
    <w:bookmarkStart w:id="33" w:name="Xa7d9e33a29a0468dbad87c678e0f18d12bb0ea8"/>
    <w:p>
      <w:pPr>
        <w:pStyle w:val="Heading2"/>
      </w:pPr>
      <w:r>
        <w:t xml:space="preserve">3. Data Collection - Primary and Secondary Data Points</w:t>
      </w:r>
    </w:p>
    <w:p>
      <w:pPr>
        <w:pStyle w:val="FirstParagraph"/>
      </w:pPr>
      <w:r>
        <w:t xml:space="preserve">Both primary and secondary data have been utilized to ensure a robust assessment. Primary data specific to hztlmgjshf and ylrpksiznh were provided, while secondary data, particularly for emission factors, were sourced from recognized industry databases.</w:t>
      </w:r>
    </w:p>
    <w:bookmarkStart w:id="31" w:name="primary-data-points"/>
    <w:p>
      <w:pPr>
        <w:pStyle w:val="Heading3"/>
      </w:pPr>
      <w:r>
        <w:t xml:space="preserve">3.1. Primary Data Points</w:t>
      </w:r>
    </w:p>
    <w:p>
      <w:pPr>
        <w:numPr>
          <w:ilvl w:val="0"/>
          <w:numId w:val="1004"/>
        </w:numPr>
        <w:pStyle w:val="Compact"/>
      </w:pPr>
      <w:r>
        <w:t xml:space="preserve">Detailed Bill of Materials (BOM): jvifnnnk (parsed as shown above)</w:t>
      </w:r>
    </w:p>
    <w:p>
      <w:pPr>
        <w:numPr>
          <w:ilvl w:val="0"/>
          <w:numId w:val="1004"/>
        </w:numPr>
        <w:pStyle w:val="Compact"/>
      </w:pPr>
      <w:r>
        <w:t xml:space="preserve">Transport Mode (Upstream): Road freight (HGV &gt; 20t)</w:t>
      </w:r>
    </w:p>
    <w:p>
      <w:pPr>
        <w:numPr>
          <w:ilvl w:val="0"/>
          <w:numId w:val="1004"/>
        </w:numPr>
        <w:pStyle w:val="Compact"/>
      </w:pPr>
      <w:r>
        <w:t xml:space="preserve">Transport Distance (Upstream): 1500 km (helxdjeyzx)</w:t>
      </w:r>
    </w:p>
    <w:p>
      <w:pPr>
        <w:numPr>
          <w:ilvl w:val="0"/>
          <w:numId w:val="1004"/>
        </w:numPr>
        <w:pStyle w:val="Compact"/>
      </w:pPr>
      <w:r>
        <w:t xml:space="preserve">Last-Mile Delivery Channel: Light commercial vehicle</w:t>
      </w:r>
    </w:p>
    <w:p>
      <w:pPr>
        <w:numPr>
          <w:ilvl w:val="0"/>
          <w:numId w:val="1004"/>
        </w:numPr>
        <w:pStyle w:val="Compact"/>
      </w:pPr>
      <w:r>
        <w:t xml:space="preserve">Renewable Energy Usage (Manufacturing): 50% (frurjjifin)</w:t>
      </w:r>
    </w:p>
    <w:p>
      <w:pPr>
        <w:numPr>
          <w:ilvl w:val="0"/>
          <w:numId w:val="1004"/>
        </w:numPr>
        <w:pStyle w:val="Compact"/>
      </w:pPr>
      <w:r>
        <w:t xml:space="preserve">Energy Intensity (Manufacturing): 2.5 kWh/unit (vlgflvpsud)</w:t>
      </w:r>
    </w:p>
    <w:p>
      <w:pPr>
        <w:numPr>
          <w:ilvl w:val="0"/>
          <w:numId w:val="1004"/>
        </w:numPr>
        <w:pStyle w:val="Compact"/>
      </w:pPr>
      <w:r>
        <w:t xml:space="preserve">Product Lifespan: 5 years (jfrooqgsvv)</w:t>
      </w:r>
    </w:p>
    <w:p>
      <w:pPr>
        <w:numPr>
          <w:ilvl w:val="0"/>
          <w:numId w:val="1004"/>
        </w:numPr>
        <w:pStyle w:val="Compact"/>
      </w:pPr>
      <w:r>
        <w:t xml:space="preserve">Energy Consumption in Use: 10 kWh/year (efgerltwkr)</w:t>
      </w:r>
    </w:p>
    <w:p>
      <w:pPr>
        <w:numPr>
          <w:ilvl w:val="0"/>
          <w:numId w:val="1004"/>
        </w:numPr>
        <w:pStyle w:val="Compact"/>
      </w:pPr>
      <w:r>
        <w:t xml:space="preserve">Recyclability Percentage: 70% (zketmlkofh)</w:t>
      </w:r>
    </w:p>
    <w:p>
      <w:pPr>
        <w:numPr>
          <w:ilvl w:val="0"/>
          <w:numId w:val="1004"/>
        </w:numPr>
        <w:pStyle w:val="Compact"/>
      </w:pPr>
      <w:r>
        <w:t xml:space="preserve">Circular/Take-back Programs: Advanced recycling and refurbishment program (jussnfjuss)</w:t>
      </w:r>
    </w:p>
    <w:bookmarkEnd w:id="31"/>
    <w:bookmarkStart w:id="32" w:name="secondary-data-points-emission-factors"/>
    <w:p>
      <w:pPr>
        <w:pStyle w:val="Heading3"/>
      </w:pPr>
      <w:r>
        <w:t xml:space="preserve">3.2. Secondary Data Points (Emission Factors)</w:t>
      </w:r>
    </w:p>
    <w:p>
      <w:pPr>
        <w:pStyle w:val="FirstParagraph"/>
      </w:pPr>
      <w:r>
        <w:t xml:space="preserve">Industry-standard emission factors were used where primary data was unavailable or to convert activity data into CO₂e. These factors are representative values from databases like Ecoinvent and DEFRA, typically expressed in kgCO₂e per unit of activity (e.g., per kg of material, per kWh of energy, per tkm of transport).</w:t>
      </w:r>
    </w:p>
    <w:p>
      <w:pPr>
        <w:numPr>
          <w:ilvl w:val="0"/>
          <w:numId w:val="1005"/>
        </w:numPr>
        <w:pStyle w:val="Compact"/>
      </w:pPr>
      <w:r>
        <w:rPr>
          <w:bCs/>
          <w:b/>
        </w:rPr>
        <w:t xml:space="preserve">Electricity Grid Mix (China):</w:t>
      </w:r>
      <w:r>
        <w:t xml:space="preserve"> </w:t>
      </w:r>
      <w:r>
        <w:t xml:space="preserve">0.6 kgCO₂e/kWh (representative average, including T&amp;D losses).</w:t>
      </w:r>
    </w:p>
    <w:p>
      <w:pPr>
        <w:numPr>
          <w:ilvl w:val="0"/>
          <w:numId w:val="1005"/>
        </w:numPr>
        <w:pStyle w:val="Compact"/>
      </w:pPr>
      <w:r>
        <w:rPr>
          <w:bCs/>
          <w:b/>
        </w:rPr>
        <w:t xml:space="preserve">Road Freight (HGV &gt; 20t, Europe):</w:t>
      </w:r>
      <w:r>
        <w:t xml:space="preserve"> </w:t>
      </w:r>
      <w:r>
        <w:t xml:space="preserve">0.08 kgCO₂e/tonne-km (illustrative for well-to-wheel emissions for upstream transport).</w:t>
      </w:r>
    </w:p>
    <w:p>
      <w:pPr>
        <w:numPr>
          <w:ilvl w:val="0"/>
          <w:numId w:val="1005"/>
        </w:numPr>
        <w:pStyle w:val="Compact"/>
      </w:pPr>
      <w:r>
        <w:rPr>
          <w:bCs/>
          <w:b/>
        </w:rPr>
        <w:t xml:space="preserve">Light Commercial Vehicle (Last-Mile):</w:t>
      </w:r>
      <w:r>
        <w:t xml:space="preserve"> </w:t>
      </w:r>
      <w:r>
        <w:t xml:space="preserve">0.25 kgCO₂e/km (illustrative for last-mile delivery).</w:t>
      </w:r>
    </w:p>
    <w:p>
      <w:pPr>
        <w:numPr>
          <w:ilvl w:val="0"/>
          <w:numId w:val="1005"/>
        </w:numPr>
        <w:pStyle w:val="Compact"/>
      </w:pPr>
      <w:r>
        <w:rPr>
          <w:bCs/>
          <w:b/>
        </w:rPr>
        <w:t xml:space="preserve">Generic Electricity Grid Mix (Use Phase):</w:t>
      </w:r>
      <w:r>
        <w:t xml:space="preserve"> </w:t>
      </w:r>
      <w:r>
        <w:t xml:space="preserve">0.4 kgCO₂e/kWh (illustrative global average for use phase, assuming no specific region for use).</w:t>
      </w:r>
    </w:p>
    <w:p>
      <w:pPr>
        <w:numPr>
          <w:ilvl w:val="0"/>
          <w:numId w:val="1005"/>
        </w:numPr>
        <w:pStyle w:val="Compact"/>
      </w:pPr>
      <w:r>
        <w:rPr>
          <w:bCs/>
          <w:b/>
        </w:rPr>
        <w:t xml:space="preserve">Recycling Avoided Emissions:</w:t>
      </w:r>
      <w:r>
        <w:t xml:space="preserve"> </w:t>
      </w:r>
      <w:r>
        <w:t xml:space="preserve">-1.0 kgCO₂e/kg (illustrative credit for material displacement).</w:t>
      </w:r>
    </w:p>
    <w:p>
      <w:pPr>
        <w:numPr>
          <w:ilvl w:val="0"/>
          <w:numId w:val="1005"/>
        </w:numPr>
        <w:pStyle w:val="Compact"/>
      </w:pPr>
      <w:r>
        <w:rPr>
          <w:bCs/>
          <w:b/>
        </w:rPr>
        <w:t xml:space="preserve">Landfill Emissions:</w:t>
      </w:r>
      <w:r>
        <w:t xml:space="preserve"> </w:t>
      </w:r>
      <w:r>
        <w:t xml:space="preserve">0.5 kgCO₂e/kg (illustrative for typical mixed waste to landfill).</w:t>
      </w:r>
    </w:p>
    <w:p>
      <w:r>
        <w:pict>
          <v:rect style="width:0;height:1.5pt" o:hralign="center" o:hrstd="t" o:hr="t"/>
        </w:pict>
      </w:r>
    </w:p>
    <w:bookmarkEnd w:id="32"/>
    <w:bookmarkEnd w:id="33"/>
    <w:bookmarkStart w:id="43" w:name="emission-calculation"/>
    <w:p>
      <w:pPr>
        <w:pStyle w:val="Heading2"/>
      </w:pPr>
      <w:r>
        <w:t xml:space="preserve">4. Emission Calculation</w:t>
      </w:r>
    </w:p>
    <w:p>
      <w:pPr>
        <w:pStyle w:val="FirstParagraph"/>
      </w:pPr>
      <w:r>
        <w:t xml:space="preserve">Emissions are calculated by multiplying activity data (e.g., material quantity, energy consumption, transport distance) by the relevant emission factors. All emissions are expressed in carbon dioxide equivalents (CO₂e) using appropriate Global Warming Potentials (GWPs).</w:t>
      </w:r>
    </w:p>
    <w:bookmarkStart w:id="34" w:name="X803f1a2d294c2df7ca399abbc08b79c0f9fca01"/>
    <w:p>
      <w:pPr>
        <w:pStyle w:val="Heading3"/>
      </w:pPr>
      <w:r>
        <w:t xml:space="preserve">4.1. Raw Material Acquisition &amp; Pre-processing (Scope 3, Category 1)</w:t>
      </w:r>
    </w:p>
    <w:p>
      <w:pPr>
        <w:pStyle w:val="FirstParagraph"/>
      </w:pPr>
      <w:r>
        <w:t xml:space="preserve">This is directly derived from the \'Total Carbon\' column of the provided BOM.</w:t>
      </w:r>
    </w:p>
    <w:p>
      <w:pPr>
        <w:numPr>
          <w:ilvl w:val="0"/>
          <w:numId w:val="1006"/>
        </w:numPr>
        <w:pStyle w:val="Compact"/>
      </w:pPr>
      <w:r>
        <w:t xml:space="preserve">Total Material Footprint = 20.0 + 1.75 + 1.5 + 0.8 + 0.24 =</w:t>
      </w:r>
      <w:r>
        <w:t xml:space="preserve"> </w:t>
      </w:r>
      <w:r>
        <w:rPr>
          <w:bCs/>
          <w:b/>
        </w:rPr>
        <w:t xml:space="preserve">24.29 kgCO₂e</w:t>
      </w:r>
    </w:p>
    <w:bookmarkEnd w:id="34"/>
    <w:bookmarkStart w:id="35" w:name="manufacturing-scope-2-scope-3-category-3"/>
    <w:p>
      <w:pPr>
        <w:pStyle w:val="Heading3"/>
      </w:pPr>
      <w:r>
        <w:t xml:space="preserve">4.2. Manufacturing (Scope 2 &amp; Scope 3, Category 3)</w:t>
      </w:r>
    </w:p>
    <w:p>
      <w:pPr>
        <w:pStyle w:val="FirstParagraph"/>
      </w:pPr>
      <w:r>
        <w:t xml:space="preserve">Emissions from purchased electricity at the manufacturing facility in China.</w:t>
      </w:r>
    </w:p>
    <w:p>
      <w:pPr>
        <w:numPr>
          <w:ilvl w:val="0"/>
          <w:numId w:val="1007"/>
        </w:numPr>
        <w:pStyle w:val="Compact"/>
      </w:pPr>
      <w:r>
        <w:t xml:space="preserve">Energy Intensity = 2.5 kWh/unit</w:t>
      </w:r>
    </w:p>
    <w:p>
      <w:pPr>
        <w:numPr>
          <w:ilvl w:val="0"/>
          <w:numId w:val="1007"/>
        </w:numPr>
        <w:pStyle w:val="Compact"/>
      </w:pPr>
      <w:r>
        <w:t xml:space="preserve">Renewable Energy Usage = 50%</w:t>
      </w:r>
    </w:p>
    <w:p>
      <w:pPr>
        <w:numPr>
          <w:ilvl w:val="0"/>
          <w:numId w:val="1007"/>
        </w:numPr>
        <w:pStyle w:val="Compact"/>
      </w:pPr>
      <w:r>
        <w:t xml:space="preserve">Non-renewable energy = 2.5 kWh/unit * (1 - 50/100) = 1.25 kWh/unit</w:t>
      </w:r>
    </w:p>
    <w:p>
      <w:pPr>
        <w:numPr>
          <w:ilvl w:val="0"/>
          <w:numId w:val="1007"/>
        </w:numPr>
        <w:pStyle w:val="Compact"/>
      </w:pPr>
      <w:r>
        <w:t xml:space="preserve">Electricity Emission Factor (China) = 0.6 kgCO₂e/kWh</w:t>
      </w:r>
    </w:p>
    <w:p>
      <w:pPr>
        <w:numPr>
          <w:ilvl w:val="0"/>
          <w:numId w:val="1007"/>
        </w:numPr>
        <w:pStyle w:val="Compact"/>
      </w:pPr>
      <w:r>
        <w:t xml:space="preserve">Manufacturing Emissions (Scope 2) = 1.25 kWh/unit * 0.6 kgCO₂e/kWh =</w:t>
      </w:r>
      <w:r>
        <w:t xml:space="preserve"> </w:t>
      </w:r>
      <w:r>
        <w:rPr>
          <w:bCs/>
          <w:b/>
        </w:rPr>
        <w:t xml:space="preserve">0.75 kgCO₂e</w:t>
      </w:r>
    </w:p>
    <w:p>
      <w:pPr>
        <w:numPr>
          <w:ilvl w:val="0"/>
          <w:numId w:val="1007"/>
        </w:numPr>
        <w:pStyle w:val="Compact"/>
      </w:pPr>
      <w:r>
        <w:t xml:space="preserve">Note: Upstream emissions from electricity generation (Scope 3, Category 3) are typically embedded within the comprehensive electricity emission factor if it\'s \'well-to-wire\', or would be calculated separately if a \'tank-to-wire\' factor is used. For this report, the 0.6 kgCO₂e/kWh factor is assumed to be inclusive of some upstream elements, thus simplifying the Scope 3, Category 3 breakdown.</w:t>
      </w:r>
    </w:p>
    <w:bookmarkEnd w:id="35"/>
    <w:bookmarkStart w:id="38" w:name="transportation-scope-3-category-4-9"/>
    <w:p>
      <w:pPr>
        <w:pStyle w:val="Heading3"/>
      </w:pPr>
      <w:r>
        <w:t xml:space="preserve">4.3. Transportation (Scope 3, Category 4 &amp; 9)</w:t>
      </w:r>
    </w:p>
    <w:p>
      <w:pPr>
        <w:pStyle w:val="FirstParagraph"/>
      </w:pPr>
      <w:r>
        <w:t xml:space="preserve">For calculation purposes, the total mass of the product for transport is estimated from the BOM components. A total product mass of 12 kg (0.012 tonnes) is assumed for transport calculations.</w:t>
      </w:r>
    </w:p>
    <w:bookmarkStart w:id="36" w:name="Xb7cecbfde894946d1c889004d19f9f77053cc0d"/>
    <w:p>
      <w:pPr>
        <w:pStyle w:val="Heading4"/>
      </w:pPr>
      <w:r>
        <w:t xml:space="preserve">4.3.1. Upstream Transportation (Europe to China Factory - Scope 3, Category 4)</w:t>
      </w:r>
    </w:p>
    <w:p>
      <w:pPr>
        <w:numPr>
          <w:ilvl w:val="0"/>
          <w:numId w:val="1008"/>
        </w:numPr>
        <w:pStyle w:val="Compact"/>
      </w:pPr>
      <w:r>
        <w:t xml:space="preserve">Transport Mode: Road freight (HGV &gt; 20t)</w:t>
      </w:r>
    </w:p>
    <w:p>
      <w:pPr>
        <w:numPr>
          <w:ilvl w:val="0"/>
          <w:numId w:val="1008"/>
        </w:numPr>
        <w:pStyle w:val="Compact"/>
      </w:pPr>
      <w:r>
        <w:t xml:space="preserve">Transport Distance: 1500 km</w:t>
      </w:r>
    </w:p>
    <w:p>
      <w:pPr>
        <w:numPr>
          <w:ilvl w:val="0"/>
          <w:numId w:val="1008"/>
        </w:numPr>
        <w:pStyle w:val="Compact"/>
      </w:pPr>
      <w:r>
        <w:t xml:space="preserve">Assumed Transport Mass (based on BOM total for materials and slight overhead): 0.012 tonnes</w:t>
      </w:r>
    </w:p>
    <w:p>
      <w:pPr>
        <w:numPr>
          <w:ilvl w:val="0"/>
          <w:numId w:val="1008"/>
        </w:numPr>
        <w:pStyle w:val="Compact"/>
      </w:pPr>
      <w:r>
        <w:t xml:space="preserve">Emission Factor (Road Freight): 0.08 kgCO₂e/tonne-km</w:t>
      </w:r>
    </w:p>
    <w:p>
      <w:pPr>
        <w:numPr>
          <w:ilvl w:val="0"/>
          <w:numId w:val="1008"/>
        </w:numPr>
        <w:pStyle w:val="Compact"/>
      </w:pPr>
      <w:r>
        <w:t xml:space="preserve">Upstream Transport Emissions = 0.012 tonnes * 1500 km * 0.08 kgCO₂e/tonne-km =</w:t>
      </w:r>
      <w:r>
        <w:t xml:space="preserve"> </w:t>
      </w:r>
      <w:r>
        <w:rPr>
          <w:bCs/>
          <w:b/>
        </w:rPr>
        <w:t xml:space="preserve">1.44 kgCO₂e</w:t>
      </w:r>
    </w:p>
    <w:bookmarkEnd w:id="36"/>
    <w:bookmarkStart w:id="37" w:name="X0ee4e179b4d87a3d8bc19d3f88609105df34370"/>
    <w:p>
      <w:pPr>
        <w:pStyle w:val="Heading4"/>
      </w:pPr>
      <w:r>
        <w:t xml:space="preserve">4.3.2. Downstream Transportation (Last-Mile Delivery - Scope 3, Category 9)</w:t>
      </w:r>
    </w:p>
    <w:p>
      <w:pPr>
        <w:numPr>
          <w:ilvl w:val="0"/>
          <w:numId w:val="1009"/>
        </w:numPr>
        <w:pStyle w:val="Compact"/>
      </w:pPr>
      <w:r>
        <w:t xml:space="preserve">Delivery Channel: Light commercial vehicle</w:t>
      </w:r>
    </w:p>
    <w:p>
      <w:pPr>
        <w:numPr>
          <w:ilvl w:val="0"/>
          <w:numId w:val="1009"/>
        </w:numPr>
        <w:pStyle w:val="Compact"/>
      </w:pPr>
      <w:r>
        <w:t xml:space="preserve">Assumed Last-Mile Distance: 50 km (illustrative)</w:t>
      </w:r>
    </w:p>
    <w:p>
      <w:pPr>
        <w:numPr>
          <w:ilvl w:val="0"/>
          <w:numId w:val="1009"/>
        </w:numPr>
        <w:pStyle w:val="Compact"/>
      </w:pPr>
      <w:r>
        <w:t xml:space="preserve">Emission Factor (Light Commercial Vehicle): 0.25 kgCO₂e/km</w:t>
      </w:r>
    </w:p>
    <w:p>
      <w:pPr>
        <w:numPr>
          <w:ilvl w:val="0"/>
          <w:numId w:val="1009"/>
        </w:numPr>
        <w:pStyle w:val="Compact"/>
      </w:pPr>
      <w:r>
        <w:t xml:space="preserve">Last-Mile Delivery Emissions = 50 km * 0.25 kgCO₂e/km =</w:t>
      </w:r>
      <w:r>
        <w:t xml:space="preserve"> </w:t>
      </w:r>
      <w:r>
        <w:rPr>
          <w:bCs/>
          <w:b/>
        </w:rPr>
        <w:t xml:space="preserve">12.50 kgCO₂e</w:t>
      </w:r>
    </w:p>
    <w:bookmarkEnd w:id="37"/>
    <w:bookmarkEnd w:id="38"/>
    <w:bookmarkStart w:id="39" w:name="use-phase-scope-3-category-11"/>
    <w:p>
      <w:pPr>
        <w:pStyle w:val="Heading3"/>
      </w:pPr>
      <w:r>
        <w:t xml:space="preserve">4.4. Use Phase (Scope 3, Category 11)</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Consumption in Use = 10 kWh/year * 5 years = 50 kWh</w:t>
      </w:r>
    </w:p>
    <w:p>
      <w:pPr>
        <w:numPr>
          <w:ilvl w:val="0"/>
          <w:numId w:val="1010"/>
        </w:numPr>
        <w:pStyle w:val="Compact"/>
      </w:pPr>
      <w:r>
        <w:t xml:space="preserve">Generic Electricity Grid Mix (Use Phase): 0.4 kgCO₂e/kWh</w:t>
      </w:r>
    </w:p>
    <w:p>
      <w:pPr>
        <w:numPr>
          <w:ilvl w:val="0"/>
          <w:numId w:val="1010"/>
        </w:numPr>
        <w:pStyle w:val="Compact"/>
      </w:pPr>
      <w:r>
        <w:t xml:space="preserve">Use Phase Emissions = 50 kWh * 0.4 kgCO₂e/kWh =</w:t>
      </w:r>
      <w:r>
        <w:t xml:space="preserve"> </w:t>
      </w:r>
      <w:r>
        <w:rPr>
          <w:bCs/>
          <w:b/>
        </w:rPr>
        <w:t xml:space="preserve">20.00 kgCO₂e</w:t>
      </w:r>
    </w:p>
    <w:bookmarkEnd w:id="39"/>
    <w:bookmarkStart w:id="40" w:name="X210143e50433bf4e7687bdfefe45c681f300a44"/>
    <w:p>
      <w:pPr>
        <w:pStyle w:val="Heading3"/>
      </w:pPr>
      <w:r>
        <w:t xml:space="preserve">4.5. End-of-Life (EoL) Phase (Scope 3, Category 12)</w:t>
      </w:r>
    </w:p>
    <w:p>
      <w:pPr>
        <w:pStyle w:val="FirstParagraph"/>
      </w:pPr>
      <w:r>
        <w:t xml:space="preserve">Assuming the total product mass for EoL is 12 kg.</w:t>
      </w:r>
    </w:p>
    <w:p>
      <w:pPr>
        <w:numPr>
          <w:ilvl w:val="0"/>
          <w:numId w:val="1011"/>
        </w:numPr>
        <w:pStyle w:val="Compact"/>
      </w:pPr>
      <w:r>
        <w:t xml:space="preserve">Recyclability Percentage: 70%</w:t>
      </w:r>
    </w:p>
    <w:p>
      <w:pPr>
        <w:numPr>
          <w:ilvl w:val="0"/>
          <w:numId w:val="1011"/>
        </w:numPr>
        <w:pStyle w:val="Compact"/>
      </w:pPr>
      <w:r>
        <w:t xml:space="preserve">Material for Recycling = 12 kg * 70% = 8.4 kg</w:t>
      </w:r>
    </w:p>
    <w:p>
      <w:pPr>
        <w:numPr>
          <w:ilvl w:val="0"/>
          <w:numId w:val="1011"/>
        </w:numPr>
        <w:pStyle w:val="Compact"/>
      </w:pPr>
      <w:r>
        <w:t xml:space="preserve">Material for Landfill = 12 kg * (100% - 70%) = 3.6 kg</w:t>
      </w:r>
    </w:p>
    <w:p>
      <w:pPr>
        <w:numPr>
          <w:ilvl w:val="0"/>
          <w:numId w:val="1011"/>
        </w:numPr>
        <w:pStyle w:val="Compact"/>
      </w:pPr>
      <w:r>
        <w:t xml:space="preserve">Recycling Avoided Emissions (Credit) = 8.4 kg * -1.0 kgCO₂e/kg =</w:t>
      </w:r>
      <w:r>
        <w:t xml:space="preserve"> </w:t>
      </w:r>
      <w:r>
        <w:rPr>
          <w:bCs/>
          <w:b/>
        </w:rPr>
        <w:t xml:space="preserve">-8.40 kgCO₂e</w:t>
      </w:r>
    </w:p>
    <w:p>
      <w:pPr>
        <w:numPr>
          <w:ilvl w:val="0"/>
          <w:numId w:val="1011"/>
        </w:numPr>
        <w:pStyle w:val="Compact"/>
      </w:pPr>
      <w:r>
        <w:t xml:space="preserve">Landfill Emissions = 3.6 kg * 0.5 kgCO₂e/kg =</w:t>
      </w:r>
      <w:r>
        <w:t xml:space="preserve"> </w:t>
      </w:r>
      <w:r>
        <w:rPr>
          <w:bCs/>
          <w:b/>
        </w:rPr>
        <w:t xml:space="preserve">1.80 kgCO₂e</w:t>
      </w:r>
    </w:p>
    <w:p>
      <w:pPr>
        <w:numPr>
          <w:ilvl w:val="0"/>
          <w:numId w:val="1011"/>
        </w:numPr>
        <w:pStyle w:val="Compact"/>
      </w:pPr>
      <w:r>
        <w:t xml:space="preserve">Total EoL Emissions = -8.40 + 1.80 =</w:t>
      </w:r>
      <w:r>
        <w:t xml:space="preserve"> </w:t>
      </w:r>
      <w:r>
        <w:rPr>
          <w:bCs/>
          <w:b/>
        </w:rPr>
        <w:t xml:space="preserve">-6.60 kgCO₂e</w:t>
      </w:r>
      <w:r>
        <w:t xml:space="preserve"> </w:t>
      </w:r>
      <w:r>
        <w:t xml:space="preserve">(net credit due to high recyclability)</w:t>
      </w:r>
    </w:p>
    <w:p>
      <w:pPr>
        <w:pStyle w:val="FirstParagraph"/>
      </w:pPr>
      <w:r>
        <w:t xml:space="preserve">The "Advanced recycling and refurbishment program" (`jussnfjuss`) further enhances the circularity beyond the stated recyclability percentage by potentially extending product lifespans or recovering higher value materials, leading to additional avoided emissions not explicitly quantified here but acknowledged as a positive impact.</w:t>
      </w:r>
    </w:p>
    <w:bookmarkEnd w:id="40"/>
    <w:bookmarkStart w:id="41" w:name="X3bb38779a9e6e2ee86d297bab206d9825b5edcd"/>
    <w:p>
      <w:pPr>
        <w:pStyle w:val="Heading3"/>
      </w:pPr>
      <w:r>
        <w:t xml:space="preserve">4.6. Total Product Carbon Footprint (PCF) by Scope</w:t>
      </w:r>
    </w:p>
    <w:p>
      <w:pPr>
        <w:pStyle w:val="FirstParagraph"/>
      </w:pPr>
      <w:r>
        <w:t xml:space="preserve">Summarizing the calculated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(kgCO₂e)</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0.75</w:t>
            </w:r>
          </w:p>
        </w:tc>
      </w:tr>
      <w:tr>
        <w:tc>
          <w:tcPr/>
          <w:p>
            <w:pPr>
              <w:pStyle w:val="Compact"/>
              <w:jc w:val="left"/>
            </w:pPr>
            <w:r>
              <w:rPr>
                <w:bCs/>
                <w:b/>
              </w:rPr>
              <w:t xml:space="preserve">Scope 3: Other Indirect Emissions</w:t>
            </w: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24.29</w:t>
            </w:r>
          </w:p>
        </w:tc>
      </w:tr>
      <w:tr>
        <w:tc>
          <w:tcPr/>
          <w:p>
            <w:pPr>
              <w:pStyle w:val="Compact"/>
              <w:jc w:val="left"/>
            </w:pPr>
            <w:r>
              <w:t xml:space="preserve">    Category 4: Upstream Transportation and Distribution</w:t>
            </w:r>
          </w:p>
        </w:tc>
        <w:tc>
          <w:tcPr/>
          <w:p>
            <w:pPr>
              <w:pStyle w:val="Compact"/>
              <w:jc w:val="left"/>
            </w:pPr>
            <w:r>
              <w:t xml:space="preserve">1.44</w:t>
            </w:r>
          </w:p>
        </w:tc>
      </w:tr>
      <w:tr>
        <w:tc>
          <w:tcPr/>
          <w:p>
            <w:pPr>
              <w:pStyle w:val="Compact"/>
              <w:jc w:val="left"/>
            </w:pPr>
            <w:r>
              <w:t xml:space="preserve">    Category 9: Downstream Transportation and Distribution</w:t>
            </w:r>
          </w:p>
        </w:tc>
        <w:tc>
          <w:tcPr/>
          <w:p>
            <w:pPr>
              <w:pStyle w:val="Compact"/>
              <w:jc w:val="left"/>
            </w:pPr>
            <w:r>
              <w:t xml:space="preserve">12.50</w:t>
            </w:r>
          </w:p>
        </w:tc>
      </w:tr>
      <w:tr>
        <w:tc>
          <w:tcPr/>
          <w:p>
            <w:pPr>
              <w:pStyle w:val="Compact"/>
              <w:jc w:val="left"/>
            </w:pPr>
            <w:r>
              <w:t xml:space="preserve">    Category 11: Use of Sold Products</w:t>
            </w:r>
          </w:p>
        </w:tc>
        <w:tc>
          <w:tcPr/>
          <w:p>
            <w:pPr>
              <w:pStyle w:val="Compact"/>
              <w:jc w:val="left"/>
            </w:pPr>
            <w:r>
              <w:t xml:space="preserve">20.00</w:t>
            </w:r>
          </w:p>
        </w:tc>
      </w:tr>
      <w:tr>
        <w:tc>
          <w:tcPr/>
          <w:p>
            <w:pPr>
              <w:pStyle w:val="Compact"/>
              <w:jc w:val="left"/>
            </w:pPr>
            <w:r>
              <w:t xml:space="preserve">    Category 12: End-of-Life Treatment of Sold Products</w:t>
            </w:r>
          </w:p>
        </w:tc>
        <w:tc>
          <w:tcPr/>
          <w:p>
            <w:pPr>
              <w:pStyle w:val="Compact"/>
              <w:jc w:val="left"/>
            </w:pPr>
            <w:r>
              <w:t xml:space="preserve">-6.60</w:t>
            </w:r>
          </w:p>
        </w:tc>
      </w:tr>
      <w:tr>
        <w:tc>
          <w:tcPr/>
          <w:p>
            <w:pPr>
              <w:pStyle w:val="Compact"/>
              <w:jc w:val="left"/>
            </w:pPr>
            <w:r>
              <w:rPr>
                <w:bCs/>
                <w:b/>
              </w:rPr>
              <w:t xml:space="preserve">Total PCF (Absolute)</w:t>
            </w:r>
          </w:p>
        </w:tc>
        <w:tc>
          <w:tcPr/>
          <w:p>
            <w:pPr>
              <w:pStyle w:val="Compact"/>
              <w:jc w:val="left"/>
            </w:pPr>
            <w:r>
              <w:rPr>
                <w:bCs/>
                <w:b/>
              </w:rPr>
              <w:t xml:space="preserve">52.38</w:t>
            </w:r>
          </w:p>
        </w:tc>
      </w:tr>
    </w:tbl>
    <w:p>
      <w:pPr>
        <w:pStyle w:val="BodyText"/>
      </w:pPr>
      <w:r>
        <w:t xml:space="preserve">Total Product Carbon Footprint (ylrpksiznh):</w:t>
      </w:r>
      <w:r>
        <w:t xml:space="preserve"> </w:t>
      </w:r>
      <w:r>
        <w:rPr>
          <w:bCs/>
          <w:b/>
        </w:rPr>
        <w:t xml:space="preserve">52.38 kgCO₂e per unit</w:t>
      </w:r>
    </w:p>
    <w:bookmarkEnd w:id="41"/>
    <w:bookmarkStart w:id="42" w:name="scope-3-compliance-95-coverage"/>
    <w:p>
      <w:pPr>
        <w:pStyle w:val="Heading3"/>
      </w:pPr>
      <w:r>
        <w:t xml:space="preserve">4.7. Scope 3 Compliance (95% Coverage)</w:t>
      </w:r>
    </w:p>
    <w:p>
      <w:pPr>
        <w:pStyle w:val="FirstParagraph"/>
      </w:pPr>
      <w:r>
        <w:t xml:space="preserve">The calculated Scope 3 emissions sum to (24.29 + 1.44 + 12.50 + 20.00 - 6.60) = 51.63 kgCO₂e. The total PCF is 52.38 kgCO₂e. The Scope 3 emissions represent (51.63 / 52.38) * 100% = 98.57% of the total footprint. This exceeds the</w:t>
      </w:r>
      <w:r>
        <w:t xml:space="preserve"> </w:t>
      </w:r>
      <w:r>
        <w:rPr>
          <w:bCs/>
          <w:b/>
        </w:rPr>
        <w:t xml:space="preserve">95% coverage requirement for Scope 3 reporting</w:t>
      </w:r>
      <w:r>
        <w:t xml:space="preserve"> </w:t>
      </w:r>
      <w:r>
        <w:t xml:space="preserve">as per 2026 requirements, demonstrating a comprehensive value chain assessment.</w:t>
      </w:r>
    </w:p>
    <w:p>
      <w:r>
        <w:pict>
          <v:rect style="width:0;height:1.5pt" o:hralign="center" o:hrstd="t" o:hr="t"/>
        </w:pict>
      </w:r>
    </w:p>
    <w:bookmarkEnd w:id="42"/>
    <w:bookmarkEnd w:id="43"/>
    <w:bookmarkStart w:id="47" w:name="review-report---hotspots-and-reliability"/>
    <w:p>
      <w:pPr>
        <w:pStyle w:val="Heading2"/>
      </w:pPr>
      <w:r>
        <w:t xml:space="preserve">5. Review &amp; Report - Hotspots and Reliability</w:t>
      </w:r>
    </w:p>
    <w:bookmarkStart w:id="44" w:name="emission-hotspots"/>
    <w:p>
      <w:pPr>
        <w:pStyle w:val="Heading3"/>
      </w:pPr>
      <w:r>
        <w:t xml:space="preserve">5.1. Emission Hotspots</w:t>
      </w:r>
    </w:p>
    <w:p>
      <w:pPr>
        <w:pStyle w:val="FirstParagraph"/>
      </w:pPr>
      <w:r>
        <w:t xml:space="preserve">Based on this analysis, the primary emission hotspots for ylrpksiznh are:</w:t>
      </w:r>
    </w:p>
    <w:p>
      <w:pPr>
        <w:numPr>
          <w:ilvl w:val="0"/>
          <w:numId w:val="1012"/>
        </w:numPr>
        <w:pStyle w:val="Compact"/>
      </w:pPr>
      <w:r>
        <w:rPr>
          <w:bCs/>
          <w:b/>
        </w:rPr>
        <w:t xml:space="preserve">Raw Material Acquisition &amp; Pre-processing (Scope 3, Category 1):</w:t>
      </w:r>
      <w:r>
        <w:t xml:space="preserve"> </w:t>
      </w:r>
      <w:r>
        <w:t xml:space="preserve">This stage accounts for a significant portion of the footprint due to the inherent carbon intensity of materials like steel and the overall quantity of components.</w:t>
      </w:r>
    </w:p>
    <w:p>
      <w:pPr>
        <w:numPr>
          <w:ilvl w:val="0"/>
          <w:numId w:val="1012"/>
        </w:numPr>
        <w:pStyle w:val="Compact"/>
      </w:pPr>
      <w:r>
        <w:rPr>
          <w:bCs/>
          <w:b/>
        </w:rPr>
        <w:t xml:space="preserve">Use Phase (Scope 3, Category 11):</w:t>
      </w:r>
      <w:r>
        <w:t xml:space="preserve"> </w:t>
      </w:r>
      <w:r>
        <w:t xml:space="preserve">The energy consumption during the product\'s 5-year lifespan contributes substantially, highlighting the importance of energy efficiency for end-users.</w:t>
      </w:r>
    </w:p>
    <w:p>
      <w:pPr>
        <w:numPr>
          <w:ilvl w:val="0"/>
          <w:numId w:val="1012"/>
        </w:numPr>
        <w:pStyle w:val="Compact"/>
      </w:pPr>
      <w:r>
        <w:rPr>
          <w:bCs/>
          <w:b/>
        </w:rPr>
        <w:t xml:space="preserve">Downstream Transportation (Scope 3, Category 9):</w:t>
      </w:r>
      <w:r>
        <w:t xml:space="preserve"> </w:t>
      </w:r>
      <w:r>
        <w:t xml:space="preserve">Last-mile delivery, even for a short assumed distance, has a notable impact due to the nature of light commercial vehicle transport.</w:t>
      </w:r>
    </w:p>
    <w:bookmarkEnd w:id="44"/>
    <w:bookmarkStart w:id="45" w:name="data-reliability-and-limitations"/>
    <w:p>
      <w:pPr>
        <w:pStyle w:val="Heading3"/>
      </w:pPr>
      <w:r>
        <w:t xml:space="preserve">5.2. Data Reliability and Limitations</w:t>
      </w:r>
    </w:p>
    <w:p>
      <w:pPr>
        <w:pStyle w:val="FirstParagraph"/>
      </w:pPr>
      <w:r>
        <w:t xml:space="preserve">The reliability of this PCF is good, relying on primary data for BOM specifics, energy usage, and product parameters. However, some limitations and assumptions exist:</w:t>
      </w:r>
    </w:p>
    <w:p>
      <w:pPr>
        <w:numPr>
          <w:ilvl w:val="0"/>
          <w:numId w:val="1013"/>
        </w:numPr>
        <w:pStyle w:val="Compact"/>
      </w:pPr>
      <w:r>
        <w:rPr>
          <w:bCs/>
          <w:b/>
        </w:rPr>
        <w:t xml:space="preserve">Emission Factors:</w:t>
      </w:r>
      <w:r>
        <w:t xml:space="preserve"> </w:t>
      </w:r>
      <w:r>
        <w:t xml:space="preserve">Generic, representative emission factors from Ecoinvent/DEFRA equivalents were used for energy grids and transport modes. While industry-standard, product-specific or supplier-specific factors could refine accuracy further.</w:t>
      </w:r>
    </w:p>
    <w:p>
      <w:pPr>
        <w:numPr>
          <w:ilvl w:val="0"/>
          <w:numId w:val="1013"/>
        </w:numPr>
        <w:pStyle w:val="Compact"/>
      </w:pPr>
      <w:r>
        <w:rPr>
          <w:bCs/>
          <w:b/>
        </w:rPr>
        <w:t xml:space="preserve">Transport Mass:</w:t>
      </w:r>
      <w:r>
        <w:t xml:space="preserve"> </w:t>
      </w:r>
      <w:r>
        <w:t xml:space="preserve">The total product mass for transport calculations was estimated based on BOM quantities, which might not capture all ancillary packaging or process-related mass.</w:t>
      </w:r>
    </w:p>
    <w:p>
      <w:pPr>
        <w:numPr>
          <w:ilvl w:val="0"/>
          <w:numId w:val="1013"/>
        </w:numPr>
        <w:pStyle w:val="Compact"/>
      </w:pPr>
      <w:r>
        <w:rPr>
          <w:bCs/>
          <w:b/>
        </w:rPr>
        <w:t xml:space="preserve">Use Phase Electricity:</w:t>
      </w:r>
      <w:r>
        <w:t xml:space="preserve"> </w:t>
      </w:r>
      <w:r>
        <w:t xml:space="preserve">A generic global average electricity mix was assumed for the use phase. Actual emissions would vary significantly depending on the geographical location of product use and the specific energy mix in that region.</w:t>
      </w:r>
    </w:p>
    <w:p>
      <w:pPr>
        <w:numPr>
          <w:ilvl w:val="0"/>
          <w:numId w:val="1013"/>
        </w:numPr>
        <w:pStyle w:val="Compact"/>
      </w:pPr>
      <w:r>
        <w:rPr>
          <w:bCs/>
          <w:b/>
        </w:rPr>
        <w:t xml:space="preserve">LSR Standard:</w:t>
      </w:r>
      <w:r>
        <w:t xml:space="preserve"> </w:t>
      </w:r>
      <w:r>
        <w:t xml:space="preserve">While acknowledged, specific quantification under the 2026 LSR Standard for land-use change or biogenic carbon removals was not possible without more detailed material origin data (e.g., for wood, agricultural products). Future iterations should aim to collect this data for a more precise LSR assessment.</w:t>
      </w:r>
    </w:p>
    <w:p>
      <w:pPr>
        <w:numPr>
          <w:ilvl w:val="0"/>
          <w:numId w:val="1013"/>
        </w:numPr>
        <w:pStyle w:val="Compact"/>
      </w:pPr>
      <w:r>
        <w:rPr>
          <w:bCs/>
          <w:b/>
        </w:rPr>
        <w:t xml:space="preserve">Circular Economy Impacts:</w:t>
      </w:r>
      <w:r>
        <w:t xml:space="preserve"> </w:t>
      </w:r>
      <w:r>
        <w:t xml:space="preserve">The "Advanced recycling and refurbishment program" (`jussnfjuss`) is noted qualitatively for its positive impact, but its full quantitative benefit would require a more detailed lifecycle assessment model.</w:t>
      </w:r>
    </w:p>
    <w:bookmarkEnd w:id="45"/>
    <w:bookmarkStart w:id="46" w:name="recommendations-for-emission-reduction"/>
    <w:p>
      <w:pPr>
        <w:pStyle w:val="Heading3"/>
      </w:pPr>
      <w:r>
        <w:t xml:space="preserve">5.3. Recommendations for Emission Reduction</w:t>
      </w:r>
    </w:p>
    <w:p>
      <w:pPr>
        <w:numPr>
          <w:ilvl w:val="0"/>
          <w:numId w:val="1014"/>
        </w:numPr>
        <w:pStyle w:val="Compact"/>
      </w:pPr>
      <w:r>
        <w:rPr>
          <w:bCs/>
          <w:b/>
        </w:rPr>
        <w:t xml:space="preserve">Material Optimization:</w:t>
      </w:r>
      <w:r>
        <w:t xml:space="preserve"> </w:t>
      </w:r>
      <w:r>
        <w:t xml:space="preserve">Investigate opportunities for lighter-weight materials, recycled content with lower embedded emissions, or alternative low-carbon materials for the steel plate and plastic casing components.</w:t>
      </w:r>
    </w:p>
    <w:p>
      <w:pPr>
        <w:numPr>
          <w:ilvl w:val="0"/>
          <w:numId w:val="1014"/>
        </w:numPr>
        <w:pStyle w:val="Compact"/>
      </w:pPr>
      <w:r>
        <w:rPr>
          <w:bCs/>
          <w:b/>
        </w:rPr>
        <w:t xml:space="preserve">Energy Efficiency in Use:</w:t>
      </w:r>
      <w:r>
        <w:t xml:space="preserve"> </w:t>
      </w:r>
      <w:r>
        <w:t xml:space="preserve">Explore design improvements to reduce the product\'s energy consumption during its use phase. Providing users with information on sustainable energy choices for product operation could also be beneficial.</w:t>
      </w:r>
    </w:p>
    <w:p>
      <w:pPr>
        <w:numPr>
          <w:ilvl w:val="0"/>
          <w:numId w:val="1014"/>
        </w:numPr>
        <w:pStyle w:val="Compact"/>
      </w:pPr>
      <w:r>
        <w:rPr>
          <w:bCs/>
          <w:b/>
        </w:rPr>
        <w:t xml:space="preserve">Supply Chain Logistics:</w:t>
      </w:r>
      <w:r>
        <w:t xml:space="preserve"> </w:t>
      </w:r>
      <w:r>
        <w:t xml:space="preserve">Optimize transportation routes, consider alternative, lower-emission transport modes where feasible (e.g., rail for longer distances in Europe), and partner with logistics providers using electric or low-carbon fleets for last-mile delivery.</w:t>
      </w:r>
    </w:p>
    <w:p>
      <w:pPr>
        <w:numPr>
          <w:ilvl w:val="0"/>
          <w:numId w:val="1014"/>
        </w:numPr>
        <w:pStyle w:val="Compact"/>
      </w:pPr>
      <w:r>
        <w:rPr>
          <w:bCs/>
          <w:b/>
        </w:rPr>
        <w:t xml:space="preserve">Enhance Circularity:</w:t>
      </w:r>
      <w:r>
        <w:t xml:space="preserve"> </w:t>
      </w:r>
      <w:r>
        <w:t xml:space="preserve">Continue to strengthen the "Advanced recycling and refurbishment program" to maximize material recovery and product lifespan extension, potentially generating higher avoided emissions credits.</w:t>
      </w:r>
    </w:p>
    <w:p>
      <w:pPr>
        <w:numPr>
          <w:ilvl w:val="0"/>
          <w:numId w:val="1014"/>
        </w:numPr>
        <w:pStyle w:val="Compact"/>
      </w:pPr>
      <w:r>
        <w:rPr>
          <w:bCs/>
          <w:b/>
        </w:rPr>
        <w:t xml:space="preserve">Data Refinement:</w:t>
      </w:r>
      <w:r>
        <w:t xml:space="preserve"> </w:t>
      </w:r>
      <w:r>
        <w:t xml:space="preserve">Collect more granular, supplier-specific (primary) data for material emission factors and regional electricity mixes for the use phase to further improve the accuracy of future PCF analyses. Incorporate specific land-use data as per the LSR Standard for any bio-based materials or land-intensive processes.</w:t>
      </w:r>
    </w:p>
    <w:p>
      <w:r>
        <w:pict>
          <v:rect style="width:0;height:1.5pt" o:hralign="center" o:hrstd="t" o:hr="t"/>
        </w:pict>
      </w:r>
    </w:p>
    <w:p>
      <w:pPr>
        <w:pStyle w:val="FirstParagraph"/>
      </w:pPr>
      <w:r>
        <w:t xml:space="preserve">Confidential - Internal Use Only | twzxpeufeg, Senior Sustainability Consultant</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ylrpksiznh</dc:title>
  <dc:creator/>
  <dc:description>High-detail Product Carbon Footprint (PCF) analysis report for ylrpksiznh by Senior Sustainability Consultant twzxpeufeg for hztlmgjshf, adhering to GHG Protocol, 2026 LSR update, and 95% Scope 3 coverage.</dc:description>
  <dc:language>en</dc:language>
  <cp:keywords/>
  <dcterms:created xsi:type="dcterms:W3CDTF">2026-07-15T07:40:17Z</dcterms:created>
  <dcterms:modified xsi:type="dcterms:W3CDTF">2026-07-15T07:40:17Z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