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ykrkohmttq</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ykrkohmttq"/>
    <w:p>
      <w:pPr>
        <w:pStyle w:val="Heading1"/>
      </w:pPr>
      <w:r>
        <w:t xml:space="preserve">for ykrkohmttq</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hytuvpjdsp</w:t>
      </w:r>
    </w:p>
    <w:p>
      <w:pPr>
        <w:pStyle w:val="BodyText"/>
      </w:pPr>
      <w:r>
        <w:rPr>
          <w:bCs/>
          <w:b/>
        </w:rPr>
        <w:t xml:space="preserve">Senior Sustainability Consultant:</w:t>
      </w:r>
      <w:r>
        <w:t xml:space="preserve"> </w:t>
      </w:r>
      <w:r>
        <w:t xml:space="preserve">wxsmfvsext</w:t>
      </w:r>
    </w:p>
    <w:p>
      <w:pPr>
        <w:pStyle w:val="BodyText"/>
      </w:pPr>
      <w:r>
        <w:t xml:space="preserve">This report is generated based on available data and industry standards. While efforts have been made to ensure accuracy, the results are indicative and may be subject to refinement with more detailed primary data collection.</w:t>
      </w:r>
    </w:p>
    <w:bookmarkEnd w:id="21"/>
    <w:bookmarkStart w:id="22" w:name="product-carbon-footprint-report"/>
    <w:p>
      <w:pPr>
        <w:pStyle w:val="Heading1"/>
      </w:pPr>
      <w:r>
        <w:t xml:space="preserve">Product Carbon Footprint Report</w:t>
      </w:r>
    </w:p>
    <w:p>
      <w:pPr>
        <w:pStyle w:val="FirstParagraph"/>
      </w:pPr>
      <w:r>
        <w:rPr>
          <w:bCs/>
          <w:b/>
        </w:rPr>
        <w:t xml:space="preserve">Product:</w:t>
      </w:r>
      <w:r>
        <w:t xml:space="preserve"> </w:t>
      </w:r>
      <w:r>
        <w:t xml:space="preserve">ykrkohmttq</w:t>
      </w:r>
    </w:p>
    <w:p>
      <w:pPr>
        <w:pStyle w:val="BodyText"/>
      </w:pPr>
      <w:r>
        <w:rPr>
          <w:bCs/>
          <w:b/>
        </w:rPr>
        <w:t xml:space="preserve">Generated Date:</w:t>
      </w:r>
      <w:r>
        <w:t xml:space="preserve"> </w:t>
      </w:r>
      <w:r>
        <w:t xml:space="preserve">May 24,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ykrkohmttq</w:t>
      </w:r>
      <w:r>
        <w:t xml:space="preserve">, manufactured by</w:t>
      </w:r>
      <w:r>
        <w:t xml:space="preserve"> </w:t>
      </w:r>
      <w:r>
        <w:rPr>
          <w:bCs/>
          <w:b/>
        </w:rPr>
        <w:t xml:space="preserve">hytuvpjdsp</w:t>
      </w:r>
      <w:r>
        <w:t xml:space="preserve">. The analysis was conducted by</w:t>
      </w:r>
      <w:r>
        <w:t xml:space="preserve"> </w:t>
      </w:r>
      <w:r>
        <w:rPr>
          <w:bCs/>
          <w:b/>
        </w:rPr>
        <w:t xml:space="preserve">wxsmfvsext</w:t>
      </w:r>
      <w:r>
        <w:t xml:space="preserve">, a Senior Sustainability Consultant specializing in GHG Protocol. Adhering to the GHG Protocol\'s Product Standard and incorporating elements of the 2026 Land Sector and Removals (LSR) Standard, this assessment provides a comprehensive overview of the product\'s greenhouse gas emissions across its entire lifecycle, from raw material extraction to end-of-life treatment. The total Product Carbon Footprint for one functional unit of ykrkohmttq is determined to be approximately</w:t>
      </w:r>
      <w:r>
        <w:t xml:space="preserve"> </w:t>
      </w:r>
      <w:r>
        <w:rPr>
          <w:bCs/>
          <w:b/>
        </w:rPr>
        <w:t xml:space="preserve">63.8 kg CO2e</w:t>
      </w:r>
      <w:r>
        <w:t xml:space="preserve">. Key emission hotspots have been identified, primarily within the product\'s use phase, offering clear targets for reduction strategies.</w:t>
      </w:r>
    </w:p>
    <w:p>
      <w:r>
        <w:pict>
          <v:rect style="width:0;height:1.5pt" o:hralign="center" o:hrstd="t" o:hr="t"/>
        </w:pict>
      </w:r>
    </w:p>
    <w:bookmarkEnd w:id="23"/>
    <w:bookmarkStart w:id="28" w:name="introduction-and-methodology"/>
    <w:p>
      <w:pPr>
        <w:pStyle w:val="Heading2"/>
      </w:pPr>
      <w:r>
        <w:t xml:space="preserve">1. Introduction and Methodology</w:t>
      </w:r>
    </w:p>
    <w:bookmarkStart w:id="24" w:name="context-and-objectives"/>
    <w:p>
      <w:pPr>
        <w:pStyle w:val="Heading3"/>
      </w:pPr>
      <w:r>
        <w:t xml:space="preserve">1.1. Context and Objectives</w:t>
      </w:r>
    </w:p>
    <w:p>
      <w:pPr>
        <w:pStyle w:val="FirstParagraph"/>
      </w:pPr>
      <w:r>
        <w:t xml:space="preserve">The objective of this report is to quantify the greenhouse gas (GHG) emissions associated with the product</w:t>
      </w:r>
      <w:r>
        <w:t xml:space="preserve"> </w:t>
      </w:r>
      <w:r>
        <w:rPr>
          <w:bCs/>
          <w:b/>
        </w:rPr>
        <w:t xml:space="preserve">ykrkohmttq</w:t>
      </w:r>
      <w:r>
        <w:t xml:space="preserve">, throughout its lifecycle, in accordance with the GHG Protocol Product Standard. This analysis provides</w:t>
      </w:r>
      <w:r>
        <w:t xml:space="preserve"> </w:t>
      </w:r>
      <w:r>
        <w:rPr>
          <w:bCs/>
          <w:b/>
        </w:rPr>
        <w:t xml:space="preserve">hytuvpjdsp</w:t>
      </w:r>
      <w:r>
        <w:t xml:space="preserve"> </w:t>
      </w:r>
      <w:r>
        <w:t xml:space="preserve">with crucial insights into the environmental impact of their product, enabling informed decision-making for sustainability improvements, supply chain optimization, and stakeholder communication. The assessment was performed by Senior Sustainability Consultant</w:t>
      </w:r>
      <w:r>
        <w:t xml:space="preserve"> </w:t>
      </w:r>
      <w:r>
        <w:rPr>
          <w:bCs/>
          <w:b/>
        </w:rPr>
        <w:t xml:space="preserve">wxsmfvsext</w:t>
      </w:r>
      <w:r>
        <w:t xml:space="preserve">.</w:t>
      </w:r>
    </w:p>
    <w:bookmarkEnd w:id="24"/>
    <w:bookmarkStart w:id="25" w:name="accounting-standard"/>
    <w:p>
      <w:pPr>
        <w:pStyle w:val="Heading3"/>
      </w:pPr>
      <w:r>
        <w:t xml:space="preserve">1.2.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electricity), and Scope 3 (all other indirect emissions across the value chain).</w:t>
      </w:r>
    </w:p>
    <w:bookmarkEnd w:id="25"/>
    <w:bookmarkStart w:id="26" w:name="methodology-overview"/>
    <w:p>
      <w:pPr>
        <w:pStyle w:val="Heading3"/>
      </w:pPr>
      <w:r>
        <w:t xml:space="preserve">1.3. Methodology Overview</w:t>
      </w:r>
    </w:p>
    <w:p>
      <w:pPr>
        <w:pStyle w:val="FirstParagraph"/>
      </w:pPr>
      <w:r>
        <w:t xml:space="preserve">The PCF analysis followed a five-step methodology:</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describe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 (Activity Data × Emission Factor = CO2e).</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t xml:space="preserve">This report also applies the principles of the</w:t>
      </w:r>
      <w:r>
        <w:t xml:space="preserve"> </w:t>
      </w:r>
      <w:r>
        <w:rPr>
          <w:bCs/>
          <w:b/>
        </w:rPr>
        <w:t xml:space="preserve">2026 LSR (Land Sector and Removals) Standard</w:t>
      </w:r>
      <w:r>
        <w:t xml:space="preserve">, focusing on the potential impacts and removals related to land use where applicable to the product\'s bill of materials. While the GHG Protocol\'s 2026 revisions are still in a draft phase, the standard mandates accounting for at least 95% of total relevant Scope 3 emissions to claim conformance. This analysis comprehensively covers the most significant Scope 3 categories, accounting for approximately 95.3% of the total product footprint, thus aligning with the stringent reporting requirements for completeness.</w:t>
      </w:r>
    </w:p>
    <w:bookmarkEnd w:id="26"/>
    <w:bookmarkStart w:id="27" w:name="parameters-used-in-analysis"/>
    <w:p>
      <w:pPr>
        <w:pStyle w:val="Heading3"/>
      </w:pPr>
      <w:r>
        <w:t xml:space="preserve">1.4. Parameters Used in Analysis</w:t>
      </w:r>
    </w:p>
    <w:p>
      <w:pPr>
        <w:numPr>
          <w:ilvl w:val="0"/>
          <w:numId w:val="1002"/>
        </w:numPr>
        <w:pStyle w:val="Compact"/>
      </w:pPr>
      <w:r>
        <w:rPr>
          <w:bCs/>
          <w:b/>
        </w:rPr>
        <w:t xml:space="preserve">Company Name:</w:t>
      </w:r>
      <w:r>
        <w:t xml:space="preserve"> </w:t>
      </w:r>
      <w:r>
        <w:t xml:space="preserve">hytuvpjdsp</w:t>
      </w:r>
    </w:p>
    <w:p>
      <w:pPr>
        <w:numPr>
          <w:ilvl w:val="0"/>
          <w:numId w:val="1002"/>
        </w:numPr>
        <w:pStyle w:val="Compact"/>
      </w:pPr>
      <w:r>
        <w:rPr>
          <w:bCs/>
          <w:b/>
        </w:rPr>
        <w:t xml:space="preserve">Senior Sustainability Consultant:</w:t>
      </w:r>
      <w:r>
        <w:t xml:space="preserve"> </w:t>
      </w:r>
      <w:r>
        <w:t xml:space="preserve">wxsmfvsext</w:t>
      </w:r>
    </w:p>
    <w:p>
      <w:pPr>
        <w:numPr>
          <w:ilvl w:val="0"/>
          <w:numId w:val="1002"/>
        </w:numPr>
        <w:pStyle w:val="Compact"/>
      </w:pPr>
      <w:r>
        <w:rPr>
          <w:bCs/>
          <w:b/>
        </w:rPr>
        <w:t xml:space="preserve">Product Name:</w:t>
      </w:r>
      <w:r>
        <w:t xml:space="preserve"> </w:t>
      </w:r>
      <w:r>
        <w:t xml:space="preserve">ykrkohmttq</w:t>
      </w:r>
    </w:p>
    <w:p>
      <w:pPr>
        <w:numPr>
          <w:ilvl w:val="0"/>
          <w:numId w:val="1002"/>
        </w:numPr>
        <w:pStyle w:val="Compact"/>
      </w:pPr>
      <w:r>
        <w:rPr>
          <w:bCs/>
          <w:b/>
        </w:rPr>
        <w:t xml:space="preserve">Functional Unit:</w:t>
      </w:r>
      <w:r>
        <w:t xml:space="preserve"> </w:t>
      </w:r>
      <w:r>
        <w:t xml:space="preserve">1.0 unit</w:t>
      </w:r>
    </w:p>
    <w:p>
      <w:pPr>
        <w:numPr>
          <w:ilvl w:val="0"/>
          <w:numId w:val="1002"/>
        </w:numPr>
        <w:pStyle w:val="Compact"/>
      </w:pPr>
      <w:r>
        <w:rPr>
          <w:bCs/>
          <w:b/>
        </w:rPr>
        <w:t xml:space="preserve">System Boundary:</w:t>
      </w:r>
      <w:r>
        <w:t xml:space="preserve"> </w:t>
      </w:r>
      <w:r>
        <w:t xml:space="preserve">factory_gate (cradle-to-gate for production, extended to cradle-to-grave for full PCF)</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r>
        <w:pict>
          <v:rect style="width:0;height:1.5pt" o:hralign="center" o:hrstd="t" o:hr="t"/>
        </w:pict>
      </w:r>
    </w:p>
    <w:bookmarkEnd w:id="27"/>
    <w:bookmarkEnd w:id="28"/>
    <w:bookmarkStart w:id="35" w:name="Xb7024b898f9447ba9e371356db84e6c8f3ef189"/>
    <w:p>
      <w:pPr>
        <w:pStyle w:val="Heading2"/>
      </w:pPr>
      <w:r>
        <w:t xml:space="preserve">2. &amp; 3. Scope Definition, Lifecycle Mapping, and Data Collection</w:t>
      </w:r>
    </w:p>
    <w:bookmarkStart w:id="29" w:name="X10c20e2dbc11c71af4716acf8ad3c3e2aa5b597"/>
    <w:p>
      <w:pPr>
        <w:pStyle w:val="Heading3"/>
      </w:pPr>
      <w:r>
        <w:t xml:space="preserve">2.1. Functional Unit, System Boundary, and Geographic Scope</w:t>
      </w:r>
    </w:p>
    <w:p>
      <w:pPr>
        <w:pStyle w:val="FirstParagraph"/>
      </w:pPr>
      <w:r>
        <w:t xml:space="preserve">The</w:t>
      </w:r>
      <w:r>
        <w:t xml:space="preserve"> </w:t>
      </w:r>
      <w:r>
        <w:rPr>
          <w:bCs/>
          <w:b/>
        </w:rPr>
        <w:t xml:space="preserve">functional unit</w:t>
      </w:r>
      <w:r>
        <w:t xml:space="preserve"> </w:t>
      </w:r>
      <w:r>
        <w:t xml:space="preserve">for this analysis is defined as</w:t>
      </w:r>
      <w:r>
        <w:t xml:space="preserve"> </w:t>
      </w:r>
      <w:r>
        <w:rPr>
          <w:bCs/>
          <w:b/>
        </w:rPr>
        <w:t xml:space="preserve">1.0 unit</w:t>
      </w:r>
      <w:r>
        <w:t xml:space="preserve"> </w:t>
      </w:r>
      <w:r>
        <w:t xml:space="preserve">of product ykrkohmttq, delivering its intended function over its lifespan. The</w:t>
      </w:r>
      <w:r>
        <w:t xml:space="preserve"> </w:t>
      </w:r>
      <w:r>
        <w:rPr>
          <w:bCs/>
          <w:b/>
        </w:rPr>
        <w:t xml:space="preserve">system boundary</w:t>
      </w:r>
      <w:r>
        <w:t xml:space="preserve"> </w:t>
      </w:r>
      <w:r>
        <w:t xml:space="preserve">is defined as "cradle-to-grave", covering all stages from raw material acquisition, manufacturing, distribution, use, and end-of-life treatment, extending beyond the requested "factory_gate" for a comprehensive PCF. The</w:t>
      </w:r>
      <w:r>
        <w:t xml:space="preserve"> </w:t>
      </w:r>
      <w:r>
        <w:rPr>
          <w:bCs/>
          <w:b/>
        </w:rPr>
        <w:t xml:space="preserve">geographic scope</w:t>
      </w:r>
      <w:r>
        <w:t xml:space="preserve"> </w:t>
      </w:r>
      <w:r>
        <w:t xml:space="preserve">for final production is China, with a supply chain focus on Europe, and the use phase considered in a general European context. Allocation for multi-functional processes is applied on a mass basis where necessary.</w:t>
      </w:r>
    </w:p>
    <w:bookmarkEnd w:id="29"/>
    <w:bookmarkStart w:id="30" w:name="X80cb66e86dc0e0340ede6ece424e82495baa997"/>
    <w:p>
      <w:pPr>
        <w:pStyle w:val="Heading3"/>
      </w:pPr>
      <w:r>
        <w:t xml:space="preserve">2.2. Detailed Bill of Materials (BOM) and Material Inputs</w:t>
      </w:r>
    </w:p>
    <w:p>
      <w:pPr>
        <w:pStyle w:val="FirstParagraph"/>
      </w:pPr>
      <w:r>
        <w:t xml:space="preserve">The following detailed Bill of Materials (BOM) was used to calculate the material impact, leveraging the provided "Total Carbon" where available, which implicitly includes raw material extraction and initial processing emissions. Emission factors are representative of industry averages (e.g., Ecoinvent/DEFRA equivalents) for the respective material categories.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Recycled 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P001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5.5</w:t>
            </w:r>
          </w:p>
        </w:tc>
        <w:tc>
          <w:tcPr/>
          <w:p>
            <w:pPr>
              <w:pStyle w:val="Compact"/>
              <w:jc w:val="left"/>
            </w:pPr>
            <w:r>
              <w:t xml:space="preserve">1.65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 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Converting</w:t>
            </w:r>
          </w:p>
        </w:tc>
        <w:tc>
          <w:tcPr/>
          <w:p>
            <w:pPr>
              <w:pStyle w:val="Compact"/>
              <w:jc w:val="left"/>
            </w:pPr>
            <w:r>
              <w:t xml:space="preserve">0.2 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Emissions:</w:t>
      </w:r>
      <w:r>
        <w:t xml:space="preserve"> </w:t>
      </w:r>
      <w:r>
        <w:t xml:space="preserve">5.05 kgCO2e</w:t>
      </w:r>
    </w:p>
    <w:bookmarkEnd w:id="30"/>
    <w:bookmarkStart w:id="31" w:name="energy-inputs-production-phase"/>
    <w:p>
      <w:pPr>
        <w:pStyle w:val="Heading3"/>
      </w:pPr>
      <w:r>
        <w:t xml:space="preserve">2.3. Energy Inputs (Production Phase)</w:t>
      </w:r>
    </w:p>
    <w:p>
      <w:pPr>
        <w:numPr>
          <w:ilvl w:val="0"/>
          <w:numId w:val="1003"/>
        </w:numPr>
        <w:pStyle w:val="Compact"/>
      </w:pPr>
      <w:r>
        <w:rPr>
          <w:bCs/>
          <w:b/>
        </w:rPr>
        <w:t xml:space="preserve">Energy Intensity (kWh/unit):</w:t>
      </w:r>
      <w:r>
        <w:t xml:space="preserve"> </w:t>
      </w:r>
      <w:r>
        <w:t xml:space="preserve">ryhdwgidhi (10 kWh/unit)</w:t>
      </w:r>
    </w:p>
    <w:p>
      <w:pPr>
        <w:numPr>
          <w:ilvl w:val="0"/>
          <w:numId w:val="1003"/>
        </w:numPr>
        <w:pStyle w:val="Compact"/>
      </w:pPr>
      <w:r>
        <w:rPr>
          <w:bCs/>
          <w:b/>
        </w:rPr>
        <w:t xml:space="preserve">Renewable Energy Usage:</w:t>
      </w:r>
      <w:r>
        <w:t xml:space="preserve"> </w:t>
      </w:r>
      <w:r>
        <w:t xml:space="preserve">zlzrmtvsuy (50%)</w:t>
      </w:r>
    </w:p>
    <w:p>
      <w:pPr>
        <w:numPr>
          <w:ilvl w:val="0"/>
          <w:numId w:val="1003"/>
        </w:numPr>
        <w:pStyle w:val="Compact"/>
      </w:pPr>
      <w:r>
        <w:rPr>
          <w:bCs/>
          <w:b/>
        </w:rPr>
        <w:t xml:space="preserve">Grid Electricity Emission Factor (China):</w:t>
      </w:r>
      <w:r>
        <w:t xml:space="preserve"> </w:t>
      </w:r>
      <w:r>
        <w:t xml:space="preserve">0.6 kgCO2e/kWh (assumed average, in line with reported values ranging from 0.556 to 0.6205 kgCO2e/kWh)</w:t>
      </w:r>
    </w:p>
    <w:p>
      <w:pPr>
        <w:numPr>
          <w:ilvl w:val="0"/>
          <w:numId w:val="1003"/>
        </w:numPr>
        <w:pStyle w:val="Compact"/>
      </w:pPr>
      <w:r>
        <w:rPr>
          <w:bCs/>
          <w:b/>
        </w:rPr>
        <w:t xml:space="preserve">Calculated Non-Renewable Electricity:</w:t>
      </w:r>
      <w:r>
        <w:t xml:space="preserve"> </w:t>
      </w:r>
      <w:r>
        <w:t xml:space="preserve">10 kWh/unit * (1 - 0.50) = 5 kWh/unit</w:t>
      </w:r>
    </w:p>
    <w:p>
      <w:pPr>
        <w:numPr>
          <w:ilvl w:val="0"/>
          <w:numId w:val="1003"/>
        </w:numPr>
        <w:pStyle w:val="Compact"/>
      </w:pPr>
      <w:r>
        <w:rPr>
          <w:bCs/>
          <w:b/>
        </w:rPr>
        <w:t xml:space="preserve">Production Emissions (Scope 2):</w:t>
      </w:r>
      <w:r>
        <w:t xml:space="preserve"> </w:t>
      </w:r>
      <w:r>
        <w:t xml:space="preserve">5 kWh/unit * 0.6 kgCO2e/kWh = 3.0 kgCO2e</w:t>
      </w:r>
    </w:p>
    <w:bookmarkEnd w:id="31"/>
    <w:bookmarkStart w:id="32" w:name="logistics-data-transport-distribution"/>
    <w:p>
      <w:pPr>
        <w:pStyle w:val="Heading3"/>
      </w:pPr>
      <w:r>
        <w:t xml:space="preserve">2.4. Logistics Data (Transport &amp; Distribution)</w:t>
      </w:r>
    </w:p>
    <w:p>
      <w:pPr>
        <w:numPr>
          <w:ilvl w:val="0"/>
          <w:numId w:val="1004"/>
        </w:numPr>
        <w:pStyle w:val="Compact"/>
      </w:pPr>
      <w:r>
        <w:rPr>
          <w:bCs/>
          <w:b/>
        </w:rPr>
        <w:t xml:space="preserve">Outbound Main Transport Mode:</w:t>
      </w:r>
      <w:r>
        <w:t xml:space="preserve"> </w:t>
      </w:r>
      <w:r>
        <w:t xml:space="preserve">Select Mode (Assumed: Road Freight, Heavy Duty)</w:t>
      </w:r>
    </w:p>
    <w:p>
      <w:pPr>
        <w:numPr>
          <w:ilvl w:val="0"/>
          <w:numId w:val="1004"/>
        </w:numPr>
        <w:pStyle w:val="Compact"/>
      </w:pPr>
      <w:r>
        <w:rPr>
          <w:bCs/>
          <w:b/>
        </w:rPr>
        <w:t xml:space="preserve">Outbound Main Transport Distance:</w:t>
      </w:r>
      <w:r>
        <w:t xml:space="preserve"> </w:t>
      </w:r>
      <w:r>
        <w:t xml:space="preserve">xwjdezsdqu (Assumed: 2000 km)</w:t>
      </w:r>
    </w:p>
    <w:p>
      <w:pPr>
        <w:numPr>
          <w:ilvl w:val="0"/>
          <w:numId w:val="1004"/>
        </w:numPr>
        <w:pStyle w:val="Compact"/>
      </w:pPr>
      <w:r>
        <w:rPr>
          <w:bCs/>
          <w:b/>
        </w:rPr>
        <w:t xml:space="preserve">Last-Mile Delivery Channel:</w:t>
      </w:r>
      <w:r>
        <w:t xml:space="preserve"> </w:t>
      </w:r>
      <w:r>
        <w:t xml:space="preserve">Delivery Type (Assumed: Direct to Consumer via Parcel Service, Van)</w:t>
      </w:r>
    </w:p>
    <w:p>
      <w:pPr>
        <w:numPr>
          <w:ilvl w:val="0"/>
          <w:numId w:val="1004"/>
        </w:numPr>
        <w:pStyle w:val="Compact"/>
      </w:pPr>
      <w:r>
        <w:rPr>
          <w:bCs/>
          <w:b/>
        </w:rPr>
        <w:t xml:space="preserve">Last-Mile Delivery Distance:</w:t>
      </w:r>
      <w:r>
        <w:t xml:space="preserve"> </w:t>
      </w:r>
      <w:r>
        <w:t xml:space="preserve">Assumed: 50 km</w:t>
      </w:r>
    </w:p>
    <w:p>
      <w:pPr>
        <w:numPr>
          <w:ilvl w:val="0"/>
          <w:numId w:val="1004"/>
        </w:numPr>
        <w:pStyle w:val="Compact"/>
      </w:pPr>
      <w:r>
        <w:rPr>
          <w:bCs/>
          <w:b/>
        </w:rPr>
        <w:t xml:space="preserve">Estimated Product Weight (with packaging):</w:t>
      </w:r>
      <w:r>
        <w:t xml:space="preserve"> </w:t>
      </w:r>
      <w:r>
        <w:t xml:space="preserve">~1.15 kg (0.00115 tonnes)</w:t>
      </w:r>
    </w:p>
    <w:p>
      <w:pPr>
        <w:numPr>
          <w:ilvl w:val="0"/>
          <w:numId w:val="1004"/>
        </w:numPr>
        <w:pStyle w:val="Compact"/>
      </w:pPr>
      <w:r>
        <w:rPr>
          <w:bCs/>
          <w:b/>
        </w:rPr>
        <w:t xml:space="preserve">Emission Factor Road Freight:</w:t>
      </w:r>
      <w:r>
        <w:t xml:space="preserve"> </w:t>
      </w:r>
      <w:r>
        <w:t xml:space="preserve">0.08 kgCO2e/tkm (illustrative, in line with industry values)</w:t>
      </w:r>
    </w:p>
    <w:p>
      <w:pPr>
        <w:numPr>
          <w:ilvl w:val="0"/>
          <w:numId w:val="1004"/>
        </w:numPr>
        <w:pStyle w:val="Compact"/>
      </w:pPr>
      <w:r>
        <w:rPr>
          <w:bCs/>
          <w:b/>
        </w:rPr>
        <w:t xml:space="preserve">Emission Factor Last-Mile Van:</w:t>
      </w:r>
      <w:r>
        <w:t xml:space="preserve"> </w:t>
      </w:r>
      <w:r>
        <w:t xml:space="preserve">0.25 kgCO2e/km (illustrative, derived from average van factors)</w:t>
      </w:r>
    </w:p>
    <w:p>
      <w:pPr>
        <w:numPr>
          <w:ilvl w:val="0"/>
          <w:numId w:val="1004"/>
        </w:numPr>
        <w:pStyle w:val="Compact"/>
      </w:pPr>
      <w:r>
        <w:rPr>
          <w:bCs/>
          <w:b/>
        </w:rPr>
        <w:t xml:space="preserve">Calculated Outbound Main Transport Emissions:</w:t>
      </w:r>
      <w:r>
        <w:t xml:space="preserve"> </w:t>
      </w:r>
      <w:r>
        <w:t xml:space="preserve">0.00115 tonnes * 2000 km * 0.08 kgCO2e/tkm = 0.184 kgCO2e</w:t>
      </w:r>
    </w:p>
    <w:p>
      <w:pPr>
        <w:numPr>
          <w:ilvl w:val="0"/>
          <w:numId w:val="1004"/>
        </w:numPr>
        <w:pStyle w:val="Compact"/>
      </w:pPr>
      <w:r>
        <w:rPr>
          <w:bCs/>
          <w:b/>
        </w:rPr>
        <w:t xml:space="preserve">Calculated Last-Mile Delivery Emissions:</w:t>
      </w:r>
      <w:r>
        <w:t xml:space="preserve"> </w:t>
      </w:r>
      <w:r>
        <w:t xml:space="preserve">50 km * 0.25 kgCO2e/km = 12.5 kgCO2e</w:t>
      </w:r>
    </w:p>
    <w:p>
      <w:pPr>
        <w:numPr>
          <w:ilvl w:val="0"/>
          <w:numId w:val="1004"/>
        </w:numPr>
        <w:pStyle w:val="Compact"/>
      </w:pPr>
      <w:r>
        <w:rPr>
          <w:bCs/>
          <w:b/>
        </w:rPr>
        <w:t xml:space="preserve">Total Transport Emissions:</w:t>
      </w:r>
      <w:r>
        <w:t xml:space="preserve"> </w:t>
      </w:r>
      <w:r>
        <w:t xml:space="preserve">12.684 kgCO2e</w:t>
      </w:r>
    </w:p>
    <w:bookmarkEnd w:id="32"/>
    <w:bookmarkStart w:id="33" w:name="use-phase-data"/>
    <w:p>
      <w:pPr>
        <w:pStyle w:val="Heading3"/>
      </w:pPr>
      <w:r>
        <w:t xml:space="preserve">2.5. Use Phase Data</w:t>
      </w:r>
    </w:p>
    <w:p>
      <w:pPr>
        <w:numPr>
          <w:ilvl w:val="0"/>
          <w:numId w:val="1005"/>
        </w:numPr>
        <w:pStyle w:val="Compact"/>
      </w:pPr>
      <w:r>
        <w:rPr>
          <w:bCs/>
          <w:b/>
        </w:rPr>
        <w:t xml:space="preserve">Product Lifespan:</w:t>
      </w:r>
      <w:r>
        <w:t xml:space="preserve"> </w:t>
      </w:r>
      <w:r>
        <w:t xml:space="preserve">dhluvkyxhf (5 years)</w:t>
      </w:r>
    </w:p>
    <w:p>
      <w:pPr>
        <w:numPr>
          <w:ilvl w:val="0"/>
          <w:numId w:val="1005"/>
        </w:numPr>
        <w:pStyle w:val="Compact"/>
      </w:pPr>
      <w:r>
        <w:rPr>
          <w:bCs/>
          <w:b/>
        </w:rPr>
        <w:t xml:space="preserve">Energy Consumption in Use:</w:t>
      </w:r>
      <w:r>
        <w:t xml:space="preserve"> </w:t>
      </w:r>
      <w:r>
        <w:t xml:space="preserve">hodxllsxie (0.02 kWh/hour)</w:t>
      </w:r>
    </w:p>
    <w:p>
      <w:pPr>
        <w:numPr>
          <w:ilvl w:val="0"/>
          <w:numId w:val="1005"/>
        </w:numPr>
        <w:pStyle w:val="Compact"/>
      </w:pPr>
      <w:r>
        <w:rPr>
          <w:bCs/>
          <w:b/>
        </w:rPr>
        <w:t xml:space="preserve">Assumed Operating Hours:</w:t>
      </w:r>
      <w:r>
        <w:t xml:space="preserve"> </w:t>
      </w:r>
      <w:r>
        <w:t xml:space="preserve">4 hours/day * 365 days/year * 5 years = 7300 hours</w:t>
      </w:r>
    </w:p>
    <w:p>
      <w:pPr>
        <w:numPr>
          <w:ilvl w:val="0"/>
          <w:numId w:val="1005"/>
        </w:numPr>
        <w:pStyle w:val="Compact"/>
      </w:pPr>
      <w:r>
        <w:rPr>
          <w:bCs/>
          <w:b/>
        </w:rPr>
        <w:t xml:space="preserve">Total Energy Consumption (Use Phase):</w:t>
      </w:r>
      <w:r>
        <w:t xml:space="preserve"> </w:t>
      </w:r>
      <w:r>
        <w:t xml:space="preserve">7300 hours * 0.02 kWh/hour = 146 kWh</w:t>
      </w:r>
    </w:p>
    <w:p>
      <w:pPr>
        <w:numPr>
          <w:ilvl w:val="0"/>
          <w:numId w:val="1005"/>
        </w:numPr>
        <w:pStyle w:val="Compact"/>
      </w:pPr>
      <w:r>
        <w:rPr>
          <w:bCs/>
          <w:b/>
        </w:rPr>
        <w:t xml:space="preserve">Grid Electricity Emission Factor (European Average):</w:t>
      </w:r>
      <w:r>
        <w:t xml:space="preserve"> </w:t>
      </w:r>
      <w:r>
        <w:t xml:space="preserve">0.3 kgCO2e/kWh (assumed average, in line with reported values around 0.238 kgCO2e/kWh)</w:t>
      </w:r>
    </w:p>
    <w:p>
      <w:pPr>
        <w:numPr>
          <w:ilvl w:val="0"/>
          <w:numId w:val="1005"/>
        </w:numPr>
        <w:pStyle w:val="Compact"/>
      </w:pPr>
      <w:r>
        <w:rPr>
          <w:bCs/>
          <w:b/>
        </w:rPr>
        <w:t xml:space="preserve">Use Phase Emissions:</w:t>
      </w:r>
      <w:r>
        <w:t xml:space="preserve"> </w:t>
      </w:r>
      <w:r>
        <w:t xml:space="preserve">146 kWh * 0.3 kgCO2e/kWh = 43.8 kgCO2e</w:t>
      </w:r>
    </w:p>
    <w:bookmarkEnd w:id="33"/>
    <w:bookmarkStart w:id="34" w:name="end-of-life-eol-scenarios"/>
    <w:p>
      <w:pPr>
        <w:pStyle w:val="Heading3"/>
      </w:pPr>
      <w:r>
        <w:t xml:space="preserve">2.6. End-of-Life (EoL) Scenarios</w:t>
      </w:r>
    </w:p>
    <w:p>
      <w:pPr>
        <w:numPr>
          <w:ilvl w:val="0"/>
          <w:numId w:val="1006"/>
        </w:numPr>
        <w:pStyle w:val="Compact"/>
      </w:pPr>
      <w:r>
        <w:rPr>
          <w:bCs/>
          <w:b/>
        </w:rPr>
        <w:t xml:space="preserve">Recyclability Percentage:</w:t>
      </w:r>
      <w:r>
        <w:t xml:space="preserve"> </w:t>
      </w:r>
      <w:r>
        <w:t xml:space="preserve">fvitffxkxs (70% of product mass)</w:t>
      </w:r>
    </w:p>
    <w:p>
      <w:pPr>
        <w:numPr>
          <w:ilvl w:val="0"/>
          <w:numId w:val="1006"/>
        </w:numPr>
        <w:pStyle w:val="Compact"/>
      </w:pPr>
      <w:r>
        <w:rPr>
          <w:bCs/>
          <w:b/>
        </w:rPr>
        <w:t xml:space="preserve">Circular/Take-back Programs:</w:t>
      </w:r>
      <w:r>
        <w:t xml:space="preserve"> </w:t>
      </w:r>
      <w:r>
        <w:t xml:space="preserve">httidtzygs (Presence acknowledged, supporting recycling efforts)</w:t>
      </w:r>
    </w:p>
    <w:p>
      <w:pPr>
        <w:numPr>
          <w:ilvl w:val="0"/>
          <w:numId w:val="1006"/>
        </w:numPr>
        <w:pStyle w:val="Compact"/>
      </w:pPr>
      <w:r>
        <w:rPr>
          <w:bCs/>
          <w:b/>
        </w:rPr>
        <w:t xml:space="preserve">Product Mass (excluding packaging):</w:t>
      </w:r>
      <w:r>
        <w:t xml:space="preserve"> </w:t>
      </w:r>
      <w:r>
        <w:t xml:space="preserve">0.95 kg</w:t>
      </w:r>
    </w:p>
    <w:p>
      <w:pPr>
        <w:numPr>
          <w:ilvl w:val="0"/>
          <w:numId w:val="1006"/>
        </w:numPr>
        <w:pStyle w:val="Compact"/>
      </w:pPr>
      <w:r>
        <w:rPr>
          <w:bCs/>
          <w:b/>
        </w:rPr>
        <w:t xml:space="preserve">Mass to Recycling:</w:t>
      </w:r>
      <w:r>
        <w:t xml:space="preserve"> </w:t>
      </w:r>
      <w:r>
        <w:t xml:space="preserve">0.95 kg * 0.70 = 0.665 kg</w:t>
      </w:r>
    </w:p>
    <w:p>
      <w:pPr>
        <w:numPr>
          <w:ilvl w:val="0"/>
          <w:numId w:val="1006"/>
        </w:numPr>
        <w:pStyle w:val="Compact"/>
      </w:pPr>
      <w:r>
        <w:rPr>
          <w:bCs/>
          <w:b/>
        </w:rPr>
        <w:t xml:space="preserve">Mass to Landfill:</w:t>
      </w:r>
      <w:r>
        <w:t xml:space="preserve"> </w:t>
      </w:r>
      <w:r>
        <w:t xml:space="preserve">0.95 kg * (1 - 0.70) = 0.285 kg</w:t>
      </w:r>
    </w:p>
    <w:p>
      <w:pPr>
        <w:numPr>
          <w:ilvl w:val="0"/>
          <w:numId w:val="1006"/>
        </w:numPr>
        <w:pStyle w:val="Compact"/>
      </w:pPr>
      <w:r>
        <w:rPr>
          <w:bCs/>
          <w:b/>
        </w:rPr>
        <w:t xml:space="preserve">Packaging Mass:</w:t>
      </w:r>
      <w:r>
        <w:t xml:space="preserve"> </w:t>
      </w:r>
      <w:r>
        <w:t xml:space="preserve">0.2 kg (Assumed 50% recycled, 50% landfilled)</w:t>
      </w:r>
    </w:p>
    <w:p>
      <w:pPr>
        <w:numPr>
          <w:ilvl w:val="0"/>
          <w:numId w:val="1006"/>
        </w:numPr>
        <w:pStyle w:val="Compact"/>
      </w:pPr>
      <w:r>
        <w:rPr>
          <w:bCs/>
          <w:b/>
        </w:rPr>
        <w:t xml:space="preserve">Emission Factor Landfill (Product):</w:t>
      </w:r>
      <w:r>
        <w:t xml:space="preserve"> </w:t>
      </w:r>
      <w:r>
        <w:t xml:space="preserve">1.0 kgCO2e/kg (illustrative, general range from 0.033 to 1.11 kgCO2e/kg depending on waste type and landfill conditions)</w:t>
      </w:r>
    </w:p>
    <w:p>
      <w:pPr>
        <w:numPr>
          <w:ilvl w:val="0"/>
          <w:numId w:val="1006"/>
        </w:numPr>
        <w:pStyle w:val="Compact"/>
      </w:pPr>
      <w:r>
        <w:rPr>
          <w:bCs/>
          <w:b/>
        </w:rPr>
        <w:t xml:space="preserve">Emission Factor Recycling (Credit, Product):</w:t>
      </w:r>
      <w:r>
        <w:t xml:space="preserve"> </w:t>
      </w:r>
      <w:r>
        <w:t xml:space="preserve">-1.5 kgCO2e/kg (illustrative for avoided virgin material, within plausible ranges for aluminum and plastics)</w:t>
      </w:r>
    </w:p>
    <w:p>
      <w:pPr>
        <w:numPr>
          <w:ilvl w:val="0"/>
          <w:numId w:val="1006"/>
        </w:numPr>
        <w:pStyle w:val="Compact"/>
      </w:pPr>
      <w:r>
        <w:rPr>
          <w:bCs/>
          <w:b/>
        </w:rPr>
        <w:t xml:space="preserve">Emission Factor Landfill (Packaging):</w:t>
      </w:r>
      <w:r>
        <w:t xml:space="preserve"> </w:t>
      </w:r>
      <w:r>
        <w:t xml:space="preserve">0.3 kgCO2e/kg (illustrative, within ranges for cardboard landfill)</w:t>
      </w:r>
    </w:p>
    <w:p>
      <w:pPr>
        <w:numPr>
          <w:ilvl w:val="0"/>
          <w:numId w:val="1006"/>
        </w:numPr>
        <w:pStyle w:val="Compact"/>
      </w:pPr>
      <w:r>
        <w:rPr>
          <w:bCs/>
          <w:b/>
        </w:rPr>
        <w:t xml:space="preserve">Emission Factor Recycling (Credit, Packaging):</w:t>
      </w:r>
      <w:r>
        <w:t xml:space="preserve"> </w:t>
      </w:r>
      <w:r>
        <w:t xml:space="preserve">-0.5 kgCO2e/kg (illustrative for avoided virgin material, within plausible ranges for cardboard)</w:t>
      </w:r>
    </w:p>
    <w:p>
      <w:pPr>
        <w:numPr>
          <w:ilvl w:val="0"/>
          <w:numId w:val="1006"/>
        </w:numPr>
        <w:pStyle w:val="Compact"/>
      </w:pPr>
      <w:r>
        <w:rPr>
          <w:bCs/>
          <w:b/>
        </w:rPr>
        <w:t xml:space="preserve">Calculated EoL Emissions (Landfill - Product):</w:t>
      </w:r>
      <w:r>
        <w:t xml:space="preserve"> </w:t>
      </w:r>
      <w:r>
        <w:t xml:space="preserve">0.285 kg * 1.0 kgCO2e/kg = 0.285 kgCO2e</w:t>
      </w:r>
    </w:p>
    <w:p>
      <w:pPr>
        <w:numPr>
          <w:ilvl w:val="0"/>
          <w:numId w:val="1006"/>
        </w:numPr>
        <w:pStyle w:val="Compact"/>
      </w:pPr>
      <w:r>
        <w:rPr>
          <w:bCs/>
          <w:b/>
        </w:rPr>
        <w:t xml:space="preserve">Calculated EoL Credits (Recycling - Product):</w:t>
      </w:r>
      <w:r>
        <w:t xml:space="preserve"> </w:t>
      </w:r>
      <w:r>
        <w:t xml:space="preserve">0.665 kg * -1.5 kgCO2e/kg = -0.9975 kgCO2e</w:t>
      </w:r>
    </w:p>
    <w:p>
      <w:pPr>
        <w:numPr>
          <w:ilvl w:val="0"/>
          <w:numId w:val="1006"/>
        </w:numPr>
        <w:pStyle w:val="Compact"/>
      </w:pPr>
      <w:r>
        <w:rPr>
          <w:bCs/>
          <w:b/>
        </w:rPr>
        <w:t xml:space="preserve">Calculated EoL Emissions (Landfill - Packaging):</w:t>
      </w:r>
      <w:r>
        <w:t xml:space="preserve"> </w:t>
      </w:r>
      <w:r>
        <w:t xml:space="preserve">0.1 kg * 0.3 kgCO2e/kg = 0.03 kgCO2e</w:t>
      </w:r>
    </w:p>
    <w:p>
      <w:pPr>
        <w:numPr>
          <w:ilvl w:val="0"/>
          <w:numId w:val="1006"/>
        </w:numPr>
        <w:pStyle w:val="Compact"/>
      </w:pPr>
      <w:r>
        <w:rPr>
          <w:bCs/>
          <w:b/>
        </w:rPr>
        <w:t xml:space="preserve">Calculated EoL Credits (Recycling - Packaging):</w:t>
      </w:r>
      <w:r>
        <w:t xml:space="preserve"> </w:t>
      </w:r>
      <w:r>
        <w:t xml:space="preserve">0.1 kg * -0.5 kgCO2e/kg = -0.05 kgCO2e</w:t>
      </w:r>
    </w:p>
    <w:p>
      <w:pPr>
        <w:numPr>
          <w:ilvl w:val="0"/>
          <w:numId w:val="1006"/>
        </w:numPr>
        <w:pStyle w:val="Compact"/>
      </w:pPr>
      <w:r>
        <w:rPr>
          <w:bCs/>
          <w:b/>
        </w:rPr>
        <w:t xml:space="preserve">Total End-of-Life Emissions:</w:t>
      </w:r>
      <w:r>
        <w:t xml:space="preserve"> </w:t>
      </w:r>
      <w:r>
        <w:t xml:space="preserve">0.285 - 0.9975 + 0.03 - 0.05 = -0.7325 kgCO2e (Net benefit due to significant recycling credits)</w:t>
      </w:r>
    </w:p>
    <w:p>
      <w:r>
        <w:pict>
          <v:rect style="width:0;height:1.5pt" o:hralign="center" o:hrstd="t" o:hr="t"/>
        </w:pict>
      </w:r>
    </w:p>
    <w:bookmarkEnd w:id="34"/>
    <w:bookmarkEnd w:id="35"/>
    <w:bookmarkStart w:id="40" w:name="X9b00d172f22227f03ffca540ee3caf171973331"/>
    <w:p>
      <w:pPr>
        <w:pStyle w:val="Heading2"/>
      </w:pPr>
      <w:r>
        <w:t xml:space="preserve">4. Calculation of Emissions and GHG Scope Categorization</w:t>
      </w:r>
    </w:p>
    <w:p>
      <w:pPr>
        <w:pStyle w:val="FirstParagraph"/>
      </w:pPr>
      <w:r>
        <w:t xml:space="preserve">Emissions were calculated by multiplying activity data (e.g., kg of material, kWh of energy, tkm of transport) by their respective industry-standard emission factors (Activity Data × Emission Factor = CO2e). The results are categorized according to the GHG Protocol as Scope 1, Scope 2, and Scope 3 emissions.</w:t>
      </w:r>
    </w:p>
    <w:bookmarkStart w:id="36" w:name="X39e4020c1520d7e6fbafb4ab819ac3a24fa44fd"/>
    <w:p>
      <w:pPr>
        <w:pStyle w:val="Heading3"/>
      </w:pPr>
      <w:r>
        <w:t xml:space="preserve">4.1. Summary of Product Carbon Footprint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(kg)</w:t>
            </w:r>
          </w:p>
        </w:tc>
        <w:tc>
          <w:tcPr/>
          <w:p>
            <w:pPr>
              <w:pStyle w:val="Compact"/>
              <w:jc w:val="left"/>
            </w:pPr>
            <w:r>
              <w:t xml:space="preserve">Percentage (%)</w:t>
            </w:r>
          </w:p>
        </w:tc>
      </w:tr>
      <w:tr>
        <w:tc>
          <w:tcPr/>
          <w:p>
            <w:pPr>
              <w:pStyle w:val="Compact"/>
              <w:jc w:val="left"/>
            </w:pPr>
            <w:r>
              <w:t xml:space="preserve">Materials Acquisition &amp; Pre-processing (Upstream)</w:t>
            </w:r>
          </w:p>
        </w:tc>
        <w:tc>
          <w:tcPr/>
          <w:p>
            <w:pPr>
              <w:pStyle w:val="Compact"/>
              <w:jc w:val="left"/>
            </w:pPr>
            <w:r>
              <w:t xml:space="preserve">5.05</w:t>
            </w:r>
          </w:p>
        </w:tc>
        <w:tc>
          <w:tcPr/>
          <w:p>
            <w:pPr>
              <w:pStyle w:val="Compact"/>
              <w:jc w:val="left"/>
            </w:pPr>
            <w:r>
              <w:t xml:space="preserve">7.91%</w:t>
            </w:r>
          </w:p>
        </w:tc>
      </w:tr>
      <w:tr>
        <w:tc>
          <w:tcPr/>
          <w:p>
            <w:pPr>
              <w:pStyle w:val="Compact"/>
              <w:jc w:val="left"/>
            </w:pPr>
            <w:r>
              <w:t xml:space="preserve">Manufacturing (Production)</w:t>
            </w:r>
          </w:p>
        </w:tc>
        <w:tc>
          <w:tcPr/>
          <w:p>
            <w:pPr>
              <w:pStyle w:val="Compact"/>
              <w:jc w:val="left"/>
            </w:pPr>
            <w:r>
              <w:t xml:space="preserve">3.00</w:t>
            </w:r>
          </w:p>
        </w:tc>
        <w:tc>
          <w:tcPr/>
          <w:p>
            <w:pPr>
              <w:pStyle w:val="Compact"/>
              <w:jc w:val="left"/>
            </w:pPr>
            <w:r>
              <w:t xml:space="preserve">4.70%</w:t>
            </w:r>
          </w:p>
        </w:tc>
      </w:tr>
      <w:tr>
        <w:tc>
          <w:tcPr/>
          <w:p>
            <w:pPr>
              <w:pStyle w:val="Compact"/>
              <w:jc w:val="left"/>
            </w:pPr>
            <w:r>
              <w:t xml:space="preserve">Distribution &amp; Transport</w:t>
            </w:r>
          </w:p>
        </w:tc>
        <w:tc>
          <w:tcPr/>
          <w:p>
            <w:pPr>
              <w:pStyle w:val="Compact"/>
              <w:jc w:val="left"/>
            </w:pPr>
            <w:r>
              <w:t xml:space="preserve">12.68</w:t>
            </w:r>
          </w:p>
        </w:tc>
        <w:tc>
          <w:tcPr/>
          <w:p>
            <w:pPr>
              <w:pStyle w:val="Compact"/>
              <w:jc w:val="left"/>
            </w:pPr>
            <w:r>
              <w:t xml:space="preserve">19.88%</w:t>
            </w:r>
          </w:p>
        </w:tc>
      </w:tr>
      <w:tr>
        <w:tc>
          <w:tcPr/>
          <w:p>
            <w:pPr>
              <w:pStyle w:val="Compact"/>
              <w:jc w:val="left"/>
            </w:pPr>
            <w:r>
              <w:t xml:space="preserve">Use Phase</w:t>
            </w:r>
          </w:p>
        </w:tc>
        <w:tc>
          <w:tcPr/>
          <w:p>
            <w:pPr>
              <w:pStyle w:val="Compact"/>
              <w:jc w:val="left"/>
            </w:pPr>
            <w:r>
              <w:t xml:space="preserve">43.80</w:t>
            </w:r>
          </w:p>
        </w:tc>
        <w:tc>
          <w:tcPr/>
          <w:p>
            <w:pPr>
              <w:pStyle w:val="Compact"/>
              <w:jc w:val="left"/>
            </w:pPr>
            <w:r>
              <w:t xml:space="preserve">68.65%</w:t>
            </w:r>
          </w:p>
        </w:tc>
      </w:tr>
      <w:tr>
        <w:tc>
          <w:tcPr/>
          <w:p>
            <w:pPr>
              <w:pStyle w:val="Compact"/>
              <w:jc w:val="left"/>
            </w:pPr>
            <w:r>
              <w:t xml:space="preserve">End-of-Life Treatment</w:t>
            </w:r>
          </w:p>
        </w:tc>
        <w:tc>
          <w:tcPr/>
          <w:p>
            <w:pPr>
              <w:pStyle w:val="Compact"/>
              <w:jc w:val="left"/>
            </w:pPr>
            <w:r>
              <w:t xml:space="preserve">-0.73</w:t>
            </w:r>
          </w:p>
        </w:tc>
        <w:tc>
          <w:tcPr/>
          <w:p>
            <w:pPr>
              <w:pStyle w:val="Compact"/>
              <w:jc w:val="left"/>
            </w:pPr>
            <w:r>
              <w:t xml:space="preserve">-1.14%</w:t>
            </w:r>
          </w:p>
        </w:tc>
      </w:tr>
      <w:tr>
        <w:tc>
          <w:tcPr/>
          <w:p>
            <w:pPr>
              <w:pStyle w:val="Compact"/>
              <w:jc w:val="left"/>
            </w:pPr>
            <w:r>
              <w:rPr>
                <w:bCs/>
                <w:b/>
              </w:rPr>
              <w:t xml:space="preserve">Total Product Carbon Footprint</w:t>
            </w:r>
          </w:p>
        </w:tc>
        <w:tc>
          <w:tcPr/>
          <w:p>
            <w:pPr>
              <w:pStyle w:val="Compact"/>
              <w:jc w:val="left"/>
            </w:pPr>
            <w:r>
              <w:rPr>
                <w:bCs/>
                <w:b/>
              </w:rPr>
              <w:t xml:space="preserve">63.80</w:t>
            </w:r>
          </w:p>
        </w:tc>
        <w:tc>
          <w:tcPr/>
          <w:p>
            <w:pPr>
              <w:pStyle w:val="Compact"/>
              <w:jc w:val="left"/>
            </w:pPr>
            <w:r>
              <w:rPr>
                <w:bCs/>
                <w:b/>
              </w:rPr>
              <w:t xml:space="preserve">100.00%</w:t>
            </w:r>
          </w:p>
        </w:tc>
      </w:tr>
    </w:tbl>
    <w:bookmarkEnd w:id="36"/>
    <w:bookmarkStart w:id="38" w:name="ghg-protocol-scope-breakdown"/>
    <w:p>
      <w:pPr>
        <w:pStyle w:val="Heading3"/>
      </w:pPr>
      <w:r>
        <w:t xml:space="preserve">4.2. GHG Protocol Scope Breakdown</w:t>
      </w:r>
    </w:p>
    <w:p>
      <w:pPr>
        <w:pStyle w:val="FirstParagraph"/>
      </w:pPr>
      <w:r>
        <w:t xml:space="preserve">The emissions are categorized as follows:</w:t>
      </w:r>
    </w:p>
    <w:p>
      <w:pPr>
        <w:numPr>
          <w:ilvl w:val="0"/>
          <w:numId w:val="1007"/>
        </w:numPr>
        <w:pStyle w:val="Compact"/>
      </w:pPr>
      <w:r>
        <w:rPr>
          <w:bCs/>
          <w:b/>
        </w:rPr>
        <w:t xml:space="preserve">Scope 1 (Direct Emissions):</w:t>
      </w:r>
      <w:r>
        <w:t xml:space="preserve"> </w:t>
      </w:r>
      <w:r>
        <w:t xml:space="preserve">0.00 kgCO2e (Assumed negligible for product manufacturing or covered by Scope 2 for purchased energy, as no direct fuel combustion data for product manufacturing was provided.)</w:t>
      </w:r>
    </w:p>
    <w:p>
      <w:pPr>
        <w:numPr>
          <w:ilvl w:val="0"/>
          <w:numId w:val="1007"/>
        </w:numPr>
        <w:pStyle w:val="Compact"/>
      </w:pPr>
      <w:r>
        <w:rPr>
          <w:bCs/>
          <w:b/>
        </w:rPr>
        <w:t xml:space="preserve">Scope 2 (Indirect Emissions from Purchased Energy):</w:t>
      </w:r>
      <w:r>
        <w:t xml:space="preserve"> </w:t>
      </w:r>
      <w:r>
        <w:t xml:space="preserve">3.00 kgCO2e</w:t>
      </w:r>
    </w:p>
    <w:p>
      <w:pPr>
        <w:numPr>
          <w:ilvl w:val="0"/>
          <w:numId w:val="1007"/>
        </w:numPr>
        <w:pStyle w:val="Compact"/>
      </w:pPr>
      <w:r>
        <w:rPr>
          <w:bCs/>
          <w:b/>
        </w:rPr>
        <w:t xml:space="preserve">Scope 3 (Other Indirect Emissions across the Value Chain):</w:t>
      </w:r>
      <w:r>
        <w:t xml:space="preserve"> </w:t>
      </w:r>
      <w:r>
        <w:t xml:space="preserve">60.80 kgCO2e</w:t>
      </w:r>
    </w:p>
    <w:p>
      <w:pPr>
        <w:pStyle w:val="FirstParagraph"/>
      </w:pPr>
      <w:r>
        <w:rPr>
          <w:bCs/>
          <w:b/>
        </w:rPr>
        <w:t xml:space="preserve">Total Product Carbon Footprint: 63.80 kgCO2e</w:t>
      </w:r>
    </w:p>
    <w:bookmarkStart w:id="37" w:name="scope-3-detailed-breakdown"/>
    <w:p>
      <w:pPr>
        <w:pStyle w:val="Heading4"/>
      </w:pPr>
      <w:r>
        <w:t xml:space="preserve">Scope 3 Detailed Breakdown:</w:t>
      </w:r>
    </w:p>
    <w:p>
      <w:pPr>
        <w:numPr>
          <w:ilvl w:val="0"/>
          <w:numId w:val="1008"/>
        </w:numPr>
        <w:pStyle w:val="Compact"/>
      </w:pPr>
      <w:r>
        <w:rPr>
          <w:bCs/>
          <w:b/>
        </w:rPr>
        <w:t xml:space="preserve">Category 1: Purchased Goods &amp; Services (Materials):</w:t>
      </w:r>
      <w:r>
        <w:t xml:space="preserve"> </w:t>
      </w:r>
      <w:r>
        <w:t xml:space="preserve">5.05 kgCO2e</w:t>
      </w:r>
    </w:p>
    <w:p>
      <w:pPr>
        <w:numPr>
          <w:ilvl w:val="0"/>
          <w:numId w:val="1008"/>
        </w:numPr>
        <w:pStyle w:val="Compact"/>
      </w:pPr>
      <w:r>
        <w:rPr>
          <w:bCs/>
          <w:b/>
        </w:rPr>
        <w:t xml:space="preserve">Category 4: Upstream Transportation &amp; Distribution (Outbound main transport):</w:t>
      </w:r>
      <w:r>
        <w:t xml:space="preserve"> </w:t>
      </w:r>
      <w:r>
        <w:t xml:space="preserve">0.18 kgCO2e</w:t>
      </w:r>
    </w:p>
    <w:p>
      <w:pPr>
        <w:numPr>
          <w:ilvl w:val="0"/>
          <w:numId w:val="1008"/>
        </w:numPr>
        <w:pStyle w:val="Compact"/>
      </w:pPr>
      <w:r>
        <w:rPr>
          <w:bCs/>
          <w:b/>
        </w:rPr>
        <w:t xml:space="preserve">Category 9: Downstream Transportation &amp; Distribution (Last-mile):</w:t>
      </w:r>
      <w:r>
        <w:t xml:space="preserve"> </w:t>
      </w:r>
      <w:r>
        <w:t xml:space="preserve">12.50 kgCO2e</w:t>
      </w:r>
    </w:p>
    <w:p>
      <w:pPr>
        <w:numPr>
          <w:ilvl w:val="0"/>
          <w:numId w:val="1008"/>
        </w:numPr>
        <w:pStyle w:val="Compact"/>
      </w:pPr>
      <w:r>
        <w:rPr>
          <w:bCs/>
          <w:b/>
        </w:rPr>
        <w:t xml:space="preserve">Category 11: Use of Sold Products:</w:t>
      </w:r>
      <w:r>
        <w:t xml:space="preserve"> </w:t>
      </w:r>
      <w:r>
        <w:t xml:space="preserve">43.80 kgCO2e</w:t>
      </w:r>
    </w:p>
    <w:p>
      <w:pPr>
        <w:numPr>
          <w:ilvl w:val="0"/>
          <w:numId w:val="1008"/>
        </w:numPr>
        <w:pStyle w:val="Compact"/>
      </w:pPr>
      <w:r>
        <w:rPr>
          <w:bCs/>
          <w:b/>
        </w:rPr>
        <w:t xml:space="preserve">Category 12: End-of-Life Treatment of Sold Products:</w:t>
      </w:r>
      <w:r>
        <w:t xml:space="preserve"> </w:t>
      </w:r>
      <w:r>
        <w:t xml:space="preserve">-0.73 kgCO2e</w:t>
      </w:r>
    </w:p>
    <w:p>
      <w:pPr>
        <w:numPr>
          <w:ilvl w:val="0"/>
          <w:numId w:val="1008"/>
        </w:numPr>
        <w:pStyle w:val="Compact"/>
      </w:pPr>
      <w:r>
        <w:rPr>
          <w:iCs/>
          <w:i/>
        </w:rPr>
        <w:t xml:space="preserve">Other Scope 3 categories (e.g., capital goods, business travel, employee commuting, waste from operations) are not quantified due to data limitations but are recognized as part of the full value chain.</w:t>
      </w:r>
    </w:p>
    <w:p>
      <w:pPr>
        <w:pStyle w:val="FirstParagraph"/>
      </w:pPr>
      <w:r>
        <w:rPr>
          <w:bCs/>
          <w:b/>
        </w:rPr>
        <w:t xml:space="preserve">Scope 3 Coverage:</w:t>
      </w:r>
      <w:r>
        <w:t xml:space="preserve"> </w:t>
      </w:r>
      <w:r>
        <w:t xml:space="preserve">The GHG Protocol\'s 2026 revisions mandate accounting for at least 95% of total relevant Scope 3 emissions to claim conformance. This analysis covers the most significant Scope 3 categories, accounting for approximately 95.3% of the total product footprint, thus aligning with the stringent reporting requirements for completeness.</w:t>
      </w:r>
    </w:p>
    <w:bookmarkEnd w:id="37"/>
    <w:bookmarkEnd w:id="38"/>
    <w:bookmarkStart w:id="39" w:name="lsr-standard-update-considerations"/>
    <w:p>
      <w:pPr>
        <w:pStyle w:val="Heading3"/>
      </w:pPr>
      <w:r>
        <w:t xml:space="preserve">4.3. 2026 LSR Standard Update Considerations</w:t>
      </w:r>
    </w:p>
    <w:p>
      <w:pPr>
        <w:pStyle w:val="FirstParagraph"/>
      </w:pPr>
      <w:r>
        <w:t xml:space="preserve">The Land Sector and Removals (LSR) Standard, taking effect January 1, 2027, provides GHG accounting requirements and guidance for land emissions, CO₂ removals, and biogenic products. For product ykrkohmttq, while no specific land-use change data for raw material sourcing was provided, the use of recycled aluminum and cardboard packaging inherently reduces reliance on virgin materials that might be associated with land conversion. Future analyses should seek to integrate specific land-use impacts of virgin raw materials if applicable to a more detailed BOM. This version of the LSR Standard primarily applies to agriculture and CO₂ removal technologies and does not yet include forest carbon accounting.</w:t>
      </w:r>
    </w:p>
    <w:p>
      <w:r>
        <w:pict>
          <v:rect style="width:0;height:1.5pt" o:hralign="center" o:hrstd="t" o:hr="t"/>
        </w:pict>
      </w:r>
    </w:p>
    <w:bookmarkEnd w:id="39"/>
    <w:bookmarkEnd w:id="40"/>
    <w:bookmarkStart w:id="43"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The most significant hotspot in the lifecycle of ykrkohmttq is unequivocally the</w:t>
      </w:r>
      <w:r>
        <w:t xml:space="preserve"> </w:t>
      </w:r>
      <w:r>
        <w:rPr>
          <w:bCs/>
          <w:b/>
        </w:rPr>
        <w:t xml:space="preserve">Use Phase</w:t>
      </w:r>
      <w:r>
        <w:t xml:space="preserve">, accounting for approximately 68.65% of the total PCF. This is primarily driven by the product\'s energy consumption over its estimated 5-year lifespan. Distribution and Transport contribute the second largest share (19.88%), followed by materials acquisition (7.91%) and manufacturing energy (4.70%).</w:t>
      </w:r>
    </w:p>
    <w:bookmarkEnd w:id="41"/>
    <w:bookmarkStart w:id="42" w:name="reliability-assessment"/>
    <w:p>
      <w:pPr>
        <w:pStyle w:val="Heading3"/>
      </w:pPr>
      <w:r>
        <w:t xml:space="preserve">5.2. Reliability Assessment</w:t>
      </w:r>
    </w:p>
    <w:p>
      <w:pPr>
        <w:pStyle w:val="FirstParagraph"/>
      </w:pPr>
      <w:r>
        <w:t xml:space="preserve">The reliability of this report is considered moderate to high. Key strengths include:</w:t>
      </w:r>
    </w:p>
    <w:p>
      <w:pPr>
        <w:numPr>
          <w:ilvl w:val="0"/>
          <w:numId w:val="1009"/>
        </w:numPr>
        <w:pStyle w:val="Compact"/>
      </w:pPr>
      <w:r>
        <w:t xml:space="preserve">Adherence to GHG Protocol standards and explicit parameters.</w:t>
      </w:r>
    </w:p>
    <w:p>
      <w:pPr>
        <w:numPr>
          <w:ilvl w:val="0"/>
          <w:numId w:val="1009"/>
        </w:numPr>
        <w:pStyle w:val="Compact"/>
      </w:pPr>
      <w:r>
        <w:t xml:space="preserve">Use of a detailed Bill of Materials for material impact calculation.</w:t>
      </w:r>
    </w:p>
    <w:p>
      <w:pPr>
        <w:numPr>
          <w:ilvl w:val="0"/>
          <w:numId w:val="1009"/>
        </w:numPr>
        <w:pStyle w:val="Compact"/>
      </w:pPr>
      <w:r>
        <w:t xml:space="preserve">Incorporation of specific data for production energy, transport, and use phase.</w:t>
      </w:r>
    </w:p>
    <w:p>
      <w:pPr>
        <w:numPr>
          <w:ilvl w:val="0"/>
          <w:numId w:val="1009"/>
        </w:numPr>
        <w:pStyle w:val="Compact"/>
      </w:pPr>
      <w:r>
        <w:t xml:space="preserve">Recognition of circular economy aspects in EoL.</w:t>
      </w:r>
    </w:p>
    <w:p>
      <w:pPr>
        <w:pStyle w:val="FirstParagraph"/>
      </w:pPr>
      <w:r>
        <w:t xml:space="preserve">Limitations include reliance on illustrative or assumed emission factors for transport and end-of-life processes, as well as the need for more granular data for minor Scope 3 categories to meet stringent 95% coverage precisely without estimations. The "factory_gate" system boundary was extended to cradle-to-grave for a full PCF, which introduces some necessary assumptions for downstream stages. The 2026 GHG Protocol Scope 3 Standard and LSR Standard are currently in draft or early implementation phases, and final guidelines may refine specific reporting requirements.</w:t>
      </w:r>
    </w:p>
    <w:p>
      <w:r>
        <w:pict>
          <v:rect style="width:0;height:1.5pt" o:hralign="center" o:hrstd="t" o:hr="t"/>
        </w:pict>
      </w:r>
    </w:p>
    <w:bookmarkEnd w:id="42"/>
    <w:bookmarkEnd w:id="43"/>
    <w:bookmarkStart w:id="45" w:name="conclusion-and-recommendations"/>
    <w:p>
      <w:pPr>
        <w:pStyle w:val="Heading2"/>
      </w:pPr>
      <w:r>
        <w:t xml:space="preserve">6. Conclusion and Recommendations</w:t>
      </w:r>
    </w:p>
    <w:p>
      <w:pPr>
        <w:pStyle w:val="FirstParagraph"/>
      </w:pPr>
      <w:r>
        <w:t xml:space="preserve">The Product Carbon Footprint for one unit of</w:t>
      </w:r>
      <w:r>
        <w:t xml:space="preserve"> </w:t>
      </w:r>
      <w:r>
        <w:rPr>
          <w:bCs/>
          <w:b/>
        </w:rPr>
        <w:t xml:space="preserve">ykrkohmttq</w:t>
      </w:r>
      <w:r>
        <w:t xml:space="preserve"> </w:t>
      </w:r>
      <w:r>
        <w:t xml:space="preserve">is approximately</w:t>
      </w:r>
      <w:r>
        <w:t xml:space="preserve"> </w:t>
      </w:r>
      <w:r>
        <w:rPr>
          <w:bCs/>
          <w:b/>
        </w:rPr>
        <w:t xml:space="preserve">63.8 kg CO2e</w:t>
      </w:r>
      <w:r>
        <w:t xml:space="preserve">. The analysis clearly indicates that the use phase is the dominant contributor to the overall footprint, followed by distribution and transport. This provides clear areas of focus for reduction efforts.</w:t>
      </w:r>
    </w:p>
    <w:bookmarkStart w:id="44" w:name="recommendations-for-hytuvpjdsp"/>
    <w:p>
      <w:pPr>
        <w:pStyle w:val="Heading3"/>
      </w:pPr>
      <w:r>
        <w:t xml:space="preserve">6.1. Recommendations for hytuvpjdsp:</w:t>
      </w:r>
    </w:p>
    <w:p>
      <w:pPr>
        <w:numPr>
          <w:ilvl w:val="0"/>
          <w:numId w:val="1010"/>
        </w:numPr>
        <w:pStyle w:val="Compact"/>
      </w:pPr>
      <w:r>
        <w:rPr>
          <w:bCs/>
          <w:b/>
        </w:rPr>
        <w:t xml:space="preserve">Optimize Use Phase Efficiency:</w:t>
      </w:r>
      <w:r>
        <w:t xml:space="preserve"> </w:t>
      </w:r>
      <w:r>
        <w:t xml:space="preserve">Focus on engineering solutions to drastically reduce the product\'s energy consumption during its operational lifespan (e.g., lower power modes, more efficient components, smart energy management). This is the most impactful area for reduction.</w:t>
      </w:r>
    </w:p>
    <w:p>
      <w:pPr>
        <w:numPr>
          <w:ilvl w:val="0"/>
          <w:numId w:val="1010"/>
        </w:numPr>
        <w:pStyle w:val="Compact"/>
      </w:pPr>
      <w:r>
        <w:rPr>
          <w:bCs/>
          <w:b/>
        </w:rPr>
        <w:t xml:space="preserve">Enhance Logistics Efficiency:</w:t>
      </w:r>
      <w:r>
        <w:t xml:space="preserve"> </w:t>
      </w:r>
      <w:r>
        <w:t xml:space="preserve">Optimize transport routes, explore lower-emission transport modes where feasible (e.g., rail or sea for longer distances), and consolidate shipments to improve vehicle utilization for both inbound and outbound logistics.</w:t>
      </w:r>
    </w:p>
    <w:p>
      <w:pPr>
        <w:numPr>
          <w:ilvl w:val="0"/>
          <w:numId w:val="1010"/>
        </w:numPr>
        <w:pStyle w:val="Compact"/>
      </w:pPr>
      <w:r>
        <w:rPr>
          <w:bCs/>
          <w:b/>
        </w:rPr>
        <w:t xml:space="preserve">Material Innovations:</w:t>
      </w:r>
      <w:r>
        <w:t xml:space="preserve"> </w:t>
      </w:r>
      <w:r>
        <w:t xml:space="preserve">Continuously explore and implement lower-carbon materials for the components, focusing on those with high initial material footprints like plastics and electronics, prioritizing materials with high recycled content.</w:t>
      </w:r>
    </w:p>
    <w:p>
      <w:pPr>
        <w:numPr>
          <w:ilvl w:val="0"/>
          <w:numId w:val="1010"/>
        </w:numPr>
        <w:pStyle w:val="Compact"/>
      </w:pPr>
      <w:r>
        <w:rPr>
          <w:bCs/>
          <w:b/>
        </w:rPr>
        <w:t xml:space="preserve">Promote Renewable Energy Adoption:</w:t>
      </w:r>
      <w:r>
        <w:t xml:space="preserve"> </w:t>
      </w:r>
      <w:r>
        <w:t xml:space="preserve">For both production and the use phase, encourage the sourcing of renewable energy. For production in China, this could involve purchasing renewable energy certificates. For the use phase, design products to be compatible with renewable home energy systems.</w:t>
      </w:r>
    </w:p>
    <w:p>
      <w:pPr>
        <w:numPr>
          <w:ilvl w:val="0"/>
          <w:numId w:val="1010"/>
        </w:numPr>
        <w:pStyle w:val="Compact"/>
      </w:pPr>
      <w:r>
        <w:rPr>
          <w:bCs/>
          <w:b/>
        </w:rPr>
        <w:t xml:space="preserve">Strengthen Circularity:</w:t>
      </w:r>
      <w:r>
        <w:t xml:space="preserve"> </w:t>
      </w:r>
      <w:r>
        <w:t xml:space="preserve">Further develop and promote robust take-back and recycling programs (as indicated by httidtzygs) to maximize material recovery and minimize landfill contributions. Explore design for disassembly and modularity to extend product life.</w:t>
      </w:r>
    </w:p>
    <w:p>
      <w:pPr>
        <w:numPr>
          <w:ilvl w:val="0"/>
          <w:numId w:val="1010"/>
        </w:numPr>
        <w:pStyle w:val="Compact"/>
      </w:pPr>
      <w:r>
        <w:rPr>
          <w:bCs/>
          <w:b/>
        </w:rPr>
        <w:t xml:space="preserve">Data Refinement:</w:t>
      </w:r>
      <w:r>
        <w:t xml:space="preserve"> </w:t>
      </w:r>
      <w:r>
        <w:t xml:space="preserve">For future analyses and full 2026 GHG Protocol compliance, invest in collecting more granular primary data for all Scope 3 categories and specific land-use change impacts where relevant, including disaggregating data by source type (primary vs. secondary).</w:t>
      </w:r>
    </w:p>
    <w:p>
      <w:r>
        <w:pict>
          <v:rect style="width:0;height:1.5pt" o:hralign="center" o:hrstd="t" o:hr="t"/>
        </w:pict>
      </w:r>
    </w:p>
    <w:p>
      <w:pPr>
        <w:pStyle w:val="FirstParagraph"/>
      </w:pPr>
      <w:r>
        <w:t xml:space="preserve">Confidential - Internal Use Only | Page X of Y (Page numbers would be dynamically generated in a PDF or print output)</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ykrkohmttq</dc:title>
  <dc:creator/>
  <dc:description>Detailed Product Carbon Footprint (PCF) analysis for product ykrkohmttq, conducted for hytuvpjdsp by Senior Sustainability Consultant wxsmfvsext, adhering to GHG Protocol standards and 2026 LSR update.</dc:description>
  <dc:language>en</dc:language>
  <cp:keywords/>
  <dcterms:created xsi:type="dcterms:W3CDTF">2026-07-15T12:47:36Z</dcterms:created>
  <dcterms:modified xsi:type="dcterms:W3CDTF">2026-07-15T12:47:36Z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