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ykhtsuisxl</w:t>
      </w:r>
      <w:r>
        <w:t xml:space="preserve"> </w:t>
      </w:r>
      <w:r>
        <w:t xml:space="preserve">-</w:t>
      </w:r>
      <w:r>
        <w:t xml:space="preserve"> </w:t>
      </w:r>
      <w:r>
        <w:t xml:space="preserve">wzzvveqxdf</w:t>
      </w:r>
    </w:p>
    <w:p>
      <w:pPr>
        <w:pStyle w:val="FirstParagraph"/>
      </w:pPr>
      <w:r>
        <w:rPr>
          <w:bCs/>
          <w:b/>
        </w:rPr>
        <w:t xml:space="preserve">carboncalcpcf.com</w:t>
      </w:r>
    </w:p>
    <w:bookmarkStart w:id="21" w:name="product-carbon-footprint-report"/>
    <w:p>
      <w:pPr>
        <w:pStyle w:val="Heading1"/>
      </w:pPr>
      <w:r>
        <w:t xml:space="preserve">Product Carbon Footprint Report</w:t>
      </w:r>
    </w:p>
    <w:bookmarkStart w:id="20" w:name="product-ykhtsuisxl"/>
    <w:p>
      <w:pPr>
        <w:pStyle w:val="Heading2"/>
      </w:pPr>
      <w:r>
        <w:t xml:space="preserve">Product: ykhtsuisxl</w:t>
      </w:r>
    </w:p>
    <w:p>
      <w:pPr>
        <w:pStyle w:val="FirstParagraph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wzzvveqxdf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jgoenlpulr</w:t>
      </w:r>
    </w:p>
    <w:p>
      <w:pPr>
        <w:pStyle w:val="BodyText"/>
      </w:pPr>
      <w:r>
        <w:rPr>
          <w:bCs/>
          <w:b/>
        </w:rPr>
        <w:t xml:space="preserve">Protocol Data (Accounting Standard):</w:t>
      </w:r>
      <w:r>
        <w:t xml:space="preserve"> </w:t>
      </w:r>
      <w:r>
        <w:t xml:space="preserve">GHG Protocol</w:t>
      </w:r>
    </w:p>
    <w:p>
      <w:pPr>
        <w:pStyle w:val="BodyText"/>
      </w:pPr>
      <w:r>
        <w:t xml:space="preserve">Disclaimer: This report is generated based on available data and industry standards. While efforts have been made to ensure accuracy,</w:t>
      </w:r>
      <w:r>
        <w:t xml:space="preserve"> </w:t>
      </w:r>
      <w:r>
        <w:t xml:space="preserve">the results are indicative and subject to the quality and completeness of the input parameters.</w:t>
      </w:r>
    </w:p>
    <w:bookmarkEnd w:id="20"/>
    <w:bookmarkEnd w:id="21"/>
    <w:bookmarkStart w:id="54" w:name="product-carbon-footprint-analysis-report"/>
    <w:p>
      <w:pPr>
        <w:pStyle w:val="Heading1"/>
      </w:pPr>
      <w:r>
        <w:t xml:space="preserve">Product Carbon Footprint Analysis Report</w:t>
      </w:r>
    </w:p>
    <w:p>
      <w:pPr>
        <w:pStyle w:val="FirstParagraph"/>
      </w:pPr>
      <w:r>
        <w:rPr>
          <w:bCs/>
          <w:b/>
        </w:rPr>
        <w:t xml:space="preserve">Generated Date:</w:t>
      </w:r>
      <w:r>
        <w:t xml:space="preserve"> </w:t>
      </w:r>
      <w:r>
        <w:t xml:space="preserve">May 18, 2026</w:t>
      </w:r>
    </w:p>
    <w:p>
      <w:r>
        <w:pict>
          <v:rect style="width:0;height:1.5pt" o:hralign="center" o:hrstd="t" o:hr="t"/>
        </w:pict>
      </w:r>
    </w:p>
    <w:bookmarkStart w:id="22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presents a detailed Product Carbon Footprint (PCF) analysis for ykhtsuisxl, a product manufactured by wzzvveqxdf.</w:t>
      </w:r>
      <w:r>
        <w:t xml:space="preserve"> </w:t>
      </w:r>
      <w:r>
        <w:t xml:space="preserve">The analysis adheres strictly to the GHG Protocol accounting standard, incorporating the 2026 Land Sector and Removals (LSR)</w:t>
      </w:r>
      <w:r>
        <w:t xml:space="preserve"> </w:t>
      </w:r>
      <w:r>
        <w:t xml:space="preserve">Standard, and ensuring at least 95% coverage for Scope 3 emissions. The goal is to quantify greenhouse gas (GHG) emissions</w:t>
      </w:r>
      <w:r>
        <w:t xml:space="preserve"> </w:t>
      </w:r>
      <w:r>
        <w:t xml:space="preserve">across the product\'s lifecycle, identify key emission hotspots, and provide a foundation for targeted reduction strategies.</w:t>
      </w:r>
      <w:r>
        <w:t xml:space="preserve"> </w:t>
      </w:r>
      <w:r>
        <w:t xml:space="preserve">This assessment covers a cradle-to-gate system boundary, with insights into the use and end-of-life phases, providing a</w:t>
      </w:r>
      <w:r>
        <w:t xml:space="preserve"> </w:t>
      </w:r>
      <w:r>
        <w:t xml:space="preserve">comprehensive view of the product\'s environmental impact.</w:t>
      </w:r>
    </w:p>
    <w:p>
      <w:r>
        <w:pict>
          <v:rect style="width:0;height:1.5pt" o:hralign="center" o:hrstd="t" o:hr="t"/>
        </w:pict>
      </w:r>
    </w:p>
    <w:bookmarkEnd w:id="22"/>
    <w:bookmarkStart w:id="28" w:name="defining-the-scope"/>
    <w:p>
      <w:pPr>
        <w:pStyle w:val="Heading2"/>
      </w:pPr>
      <w:r>
        <w:t xml:space="preserve">1. Defining the Scope</w:t>
      </w:r>
    </w:p>
    <w:bookmarkStart w:id="23" w:name="functional-unit"/>
    <w:p>
      <w:pPr>
        <w:pStyle w:val="Heading3"/>
      </w:pPr>
      <w:r>
        <w:t xml:space="preserve">Functional Unit</w:t>
      </w:r>
    </w:p>
    <w:p>
      <w:pPr>
        <w:pStyle w:val="FirstParagraph"/>
      </w:pPr>
      <w:r>
        <w:t xml:space="preserve">The functional unit for this Product Carbon Footprint analysis is defined as</w:t>
      </w:r>
      <w:r>
        <w:t xml:space="preserve"> </w:t>
      </w:r>
      <w:r>
        <w:rPr>
          <w:bCs/>
          <w:b/>
        </w:rPr>
        <w:t xml:space="preserve">1.0 unit of ykhtsuisxl</w:t>
      </w:r>
      <w:r>
        <w:t xml:space="preserve">. This unit serves as</w:t>
      </w:r>
      <w:r>
        <w:t xml:space="preserve"> </w:t>
      </w:r>
      <w:r>
        <w:t xml:space="preserve">the reference basis for all quantified environmental impacts throughout the product lifecycle.</w:t>
      </w:r>
    </w:p>
    <w:bookmarkEnd w:id="23"/>
    <w:bookmarkStart w:id="24" w:name="system-boundary"/>
    <w:p>
      <w:pPr>
        <w:pStyle w:val="Heading3"/>
      </w:pPr>
      <w:r>
        <w:t xml:space="preserve">System Boundary</w:t>
      </w:r>
    </w:p>
    <w:p>
      <w:pPr>
        <w:pStyle w:val="FirstParagraph"/>
      </w:pPr>
      <w:r>
        <w:t xml:space="preserve">The system boundary for this PCF analysis is defined as</w:t>
      </w:r>
      <w:r>
        <w:t xml:space="preserve"> </w:t>
      </w:r>
      <w:r>
        <w:rPr>
          <w:bCs/>
          <w:b/>
        </w:rPr>
        <w:t xml:space="preserve">"factory_gate" (cradle-to-gate)</w:t>
      </w:r>
      <w:r>
        <w:t xml:space="preserve">, encompassing all emissions</w:t>
      </w:r>
      <w:r>
        <w:t xml:space="preserve"> </w:t>
      </w:r>
      <w:r>
        <w:t xml:space="preserve">from raw material acquisition and processing, through manufacturing, up to the point the finished product leaves the factory</w:t>
      </w:r>
      <w:r>
        <w:t xml:space="preserve"> </w:t>
      </w:r>
      <w:r>
        <w:t xml:space="preserve">in China. Additionally, significant upstream (supply chain) and downstream (use phase, end-of-life) impacts are included to provide a holistic view.</w:t>
      </w:r>
    </w:p>
    <w:bookmarkEnd w:id="24"/>
    <w:bookmarkStart w:id="25" w:name="geographic-scope"/>
    <w:p>
      <w:pPr>
        <w:pStyle w:val="Heading3"/>
      </w:pPr>
      <w:r>
        <w:t xml:space="preserve">Geographic Scope</w:t>
      </w:r>
    </w:p>
    <w:p>
      <w:pPr>
        <w:pStyle w:val="FirstParagraph"/>
      </w:pPr>
      <w:r>
        <w:t xml:space="preserve">The final production country for ykhtsuisxl is</w:t>
      </w:r>
      <w:r>
        <w:t xml:space="preserve"> </w:t>
      </w:r>
      <w:r>
        <w:rPr>
          <w:bCs/>
          <w:b/>
        </w:rPr>
        <w:t xml:space="preserve">China</w:t>
      </w:r>
      <w:r>
        <w:t xml:space="preserve">. The supply chain focus is predominantly</w:t>
      </w:r>
      <w:r>
        <w:t xml:space="preserve"> </w:t>
      </w:r>
      <w:r>
        <w:rPr>
          <w:bCs/>
          <w:b/>
        </w:rPr>
        <w:t xml:space="preserve">Europe Focused</w:t>
      </w:r>
      <w:r>
        <w:t xml:space="preserve"> </w:t>
      </w:r>
      <w:r>
        <w:t xml:space="preserve">for upstream material sourcing and distribution to final markets.</w:t>
      </w:r>
    </w:p>
    <w:bookmarkEnd w:id="25"/>
    <w:bookmarkStart w:id="26" w:name="accounting-standard"/>
    <w:p>
      <w:pPr>
        <w:pStyle w:val="Heading3"/>
      </w:pPr>
      <w:r>
        <w:t xml:space="preserve">Accounting Standard</w:t>
      </w:r>
    </w:p>
    <w:p>
      <w:pPr>
        <w:pStyle w:val="FirstParagraph"/>
      </w:pPr>
      <w:r>
        <w:t xml:space="preserve">This analysis strictly adheres to the</w:t>
      </w:r>
      <w:r>
        <w:t xml:space="preserve"> </w:t>
      </w:r>
      <w:r>
        <w:rPr>
          <w:bCs/>
          <w:b/>
        </w:rPr>
        <w:t xml:space="preserve">GHG Protocol Product Standard (A Corporate Accounting and Reporting Standard)</w:t>
      </w:r>
      <w:r>
        <w:t xml:space="preserve">.</w:t>
      </w:r>
      <w:r>
        <w:t xml:space="preserve"> </w:t>
      </w:r>
      <w:r>
        <w:t xml:space="preserve">Emissions are categorized into Scope 1 (direct emissions), Scope 2 (purchased electricity, heat, or steam), and Scope 3</w:t>
      </w:r>
      <w:r>
        <w:t xml:space="preserve"> </w:t>
      </w:r>
      <w:r>
        <w:t xml:space="preserve">(all other indirect emissions in the value chain). The analysis also integrates principles from the 2026 Land Sector and Removals (LSR) Standard.</w:t>
      </w:r>
    </w:p>
    <w:bookmarkEnd w:id="26"/>
    <w:bookmarkStart w:id="27" w:name="allocation"/>
    <w:p>
      <w:pPr>
        <w:pStyle w:val="Heading3"/>
      </w:pPr>
      <w:r>
        <w:t xml:space="preserve">Allocation</w:t>
      </w:r>
    </w:p>
    <w:p>
      <w:pPr>
        <w:pStyle w:val="FirstParagraph"/>
      </w:pPr>
      <w:r>
        <w:t xml:space="preserve">Emissions are allocated to the functional unit based on mass where appropriate for material inputs. For shared processes or utilities,</w:t>
      </w:r>
      <w:r>
        <w:t xml:space="preserve"> </w:t>
      </w:r>
      <w:r>
        <w:t xml:space="preserve">allocation is performed using appropriate physical or economic relationships to ensure accuracy and avoid double-counting.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Xeceb5f3c4cb430539f02d69dd8b49b0c98a11ff"/>
    <w:p>
      <w:pPr>
        <w:pStyle w:val="Heading2"/>
      </w:pPr>
      <w:r>
        <w:t xml:space="preserve">2. Mapping the Lifecycle (LCI Inventory Stages)</w:t>
      </w:r>
    </w:p>
    <w:p>
      <w:pPr>
        <w:pStyle w:val="FirstParagraph"/>
      </w:pPr>
      <w:r>
        <w:t xml:space="preserve">The lifecycle of ykhtsuisxl has been mapped into the following stages, facilitating the collection of Life Cycle Inventory (LCI) data: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Raw Material Acquisition &amp; Pre-processing (Upstream Scope 3, Category 1 - Purchased Goods and Services):</w:t>
      </w:r>
      <w:r>
        <w:t xml:space="preserve"> </w:t>
      </w:r>
      <w:r>
        <w:t xml:space="preserve">Extraction, production, and initial processing of all raw materials detailed in the Bill of Materials (BOM), including</w:t>
      </w:r>
      <w:r>
        <w:t xml:space="preserve"> </w:t>
      </w:r>
      <w:r>
        <w:t xml:space="preserve">materials like plastics, metals, and electronic components.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Manufacturing (Scope 1 &amp; 2, and Upstream Scope 3):</w:t>
      </w:r>
      <w:r>
        <w:t xml:space="preserve"> </w:t>
      </w:r>
      <w:r>
        <w:t xml:space="preserve">All energy consumption (electricity, fuel), chemical processes, and waste generation directly associated with the</w:t>
      </w:r>
      <w:r>
        <w:t xml:space="preserve"> </w:t>
      </w:r>
      <w:r>
        <w:t xml:space="preserve">assembly and production of ykhtsuisxl at the factory in China. This includes the energy intensity of izeyglswkq kWh/unit</w:t>
      </w:r>
      <w:r>
        <w:t xml:space="preserve"> </w:t>
      </w:r>
      <w:r>
        <w:t xml:space="preserve">and renewable energy usage of whkxwtsjof.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Transport &amp; Logistics (Upstream &amp; Downstream Scope 3, Category 4 &amp; 9):</w:t>
      </w:r>
      <w:r>
        <w:t xml:space="preserve"> </w:t>
      </w:r>
      <w:r>
        <w:t xml:space="preserve">Transportation of raw materials from European suppliers to the Chinese factory, and finished products from the factory</w:t>
      </w:r>
      <w:r>
        <w:t xml:space="preserve"> </w:t>
      </w:r>
      <w:r>
        <w:t xml:space="preserve">to distribution centers/customers. This incorporates the specified transport mode (Select Mode), distance (xnldxkpkuu),</w:t>
      </w:r>
      <w:r>
        <w:t xml:space="preserve"> </w:t>
      </w:r>
      <w:r>
        <w:t xml:space="preserve">and last-mile delivery channel (Delivery Type).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Use Phase (Downstream Scope 3, Category 11 - Use of Sold Products):</w:t>
      </w:r>
      <w:r>
        <w:t xml:space="preserve"> </w:t>
      </w:r>
      <w:r>
        <w:t xml:space="preserve">Energy consumption of ykhtsuisxl during its operational lifespan (ufkgwhrrzt) by the end-user, based on energy consumption in use (mgnidrhfed).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End-of-Life (Downstream Scope 3, Category 12 - End-of-Life Treatment of Sold Products):</w:t>
      </w:r>
      <w:r>
        <w:t xml:space="preserve"> </w:t>
      </w:r>
      <w:r>
        <w:t xml:space="preserve">Disposal, recycling, or recovery processes for ykhtsuisxl at the end of its product lifespan, considering the recyclability</w:t>
      </w:r>
      <w:r>
        <w:t xml:space="preserve"> </w:t>
      </w:r>
      <w:r>
        <w:t xml:space="preserve">percentage (nlqrukpzuo) and circular/take-back programs (iwoddhltml).</w:t>
      </w:r>
    </w:p>
    <w:p>
      <w:r>
        <w:pict>
          <v:rect style="width:0;height:1.5pt" o:hralign="center" o:hrstd="t" o:hr="t"/>
        </w:pict>
      </w:r>
    </w:p>
    <w:bookmarkEnd w:id="29"/>
    <w:bookmarkStart w:id="36" w:name="X7b6d01ce7b6bfe45f00681616505557cddf238f"/>
    <w:p>
      <w:pPr>
        <w:pStyle w:val="Heading2"/>
      </w:pPr>
      <w:r>
        <w:t xml:space="preserve">3. Data Collection (Primary/Secondary Data Points)</w:t>
      </w:r>
    </w:p>
    <w:p>
      <w:pPr>
        <w:pStyle w:val="FirstParagraph"/>
      </w:pPr>
      <w:r>
        <w:t xml:space="preserve">High-quality primary and secondary data were collected to quantify emissions across the lifecycle.</w:t>
      </w:r>
    </w:p>
    <w:bookmarkStart w:id="30" w:name="Xb374cc57e5cfc13e46c2a1a4c299967ae3d5957"/>
    <w:p>
      <w:pPr>
        <w:pStyle w:val="Heading3"/>
      </w:pPr>
      <w:r>
        <w:t xml:space="preserve">Detailed Bill of Materials (BOM) for ykhtsuisxl</w:t>
      </w:r>
    </w:p>
    <w:p>
      <w:pPr>
        <w:pStyle w:val="FirstParagraph"/>
      </w:pPr>
      <w:r>
        <w:t xml:space="preserve">The following specific BOM data (vvpytxzs) was used for high-accuracy material impact calculations: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Qty (Unit)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 CO2e/unit)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MB001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 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MB002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Circuit 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Assembly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 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0.750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MB003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Lithium-Ion Battery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0.08 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1.600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MB004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Copper Wire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Drawing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0.02 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MB005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 (Cardboard)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Paper/Wood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0.03 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0.030</w:t>
            </w:r>
          </w:p>
        </w:tc>
      </w:tr>
    </w:tbl>
    <w:p>
      <w:pPr>
        <w:pStyle w:val="BodyText"/>
      </w:pPr>
      <w:r>
        <w:rPr>
          <w:iCs/>
          <w:i/>
        </w:rPr>
        <w:t xml:space="preserve">Note: "Total Carbon" values are calculated as Qty * Emission Factor based on the provided BOM format.</w:t>
      </w:r>
    </w:p>
    <w:bookmarkEnd w:id="30"/>
    <w:bookmarkStart w:id="31" w:name="energy-inputs-production-phase"/>
    <w:p>
      <w:pPr>
        <w:pStyle w:val="Heading3"/>
      </w:pPr>
      <w:r>
        <w:t xml:space="preserve">Energy Inputs (Production Phase)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Energy Intensity:</w:t>
      </w:r>
      <w:r>
        <w:t xml:space="preserve"> </w:t>
      </w:r>
      <w:r>
        <w:t xml:space="preserve">izeyglswkq kWh/unit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Renewable Energy Usage:</w:t>
      </w:r>
      <w:r>
        <w:t xml:space="preserve"> </w:t>
      </w:r>
      <w:r>
        <w:t xml:space="preserve">whkxwtsjof (e.g., 60% green electricity procurement)</w:t>
      </w:r>
    </w:p>
    <w:p>
      <w:pPr>
        <w:numPr>
          <w:ilvl w:val="0"/>
          <w:numId w:val="1002"/>
        </w:numPr>
        <w:pStyle w:val="Compact"/>
      </w:pPr>
      <w:r>
        <w:t xml:space="preserve">The remaining non-renewable energy is assumed to be sourced from the local grid mix in China.</w:t>
      </w:r>
    </w:p>
    <w:bookmarkEnd w:id="31"/>
    <w:bookmarkStart w:id="32" w:name="Xfbe7abce6eec3e7ebbc1108a591ccd36bb37451"/>
    <w:p>
      <w:pPr>
        <w:pStyle w:val="Heading3"/>
      </w:pPr>
      <w:r>
        <w:t xml:space="preserve">Logistics Data (Transport and Last-Mile Delivery)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Primary Transport Mode:</w:t>
      </w:r>
      <w:r>
        <w:t xml:space="preserve"> </w:t>
      </w:r>
      <w:r>
        <w:t xml:space="preserve">Select Mode (e.g., Sea Freight for intercontinental, Road Freight for regional)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Transport Distance:</w:t>
      </w:r>
      <w:r>
        <w:t xml:space="preserve"> </w:t>
      </w:r>
      <w:r>
        <w:t xml:space="preserve">xnldxkpkuu (e.g., 8000 km by sea, 500 km by road)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Last-Mile Delivery Channel:</w:t>
      </w:r>
      <w:r>
        <w:t xml:space="preserve"> </w:t>
      </w:r>
      <w:r>
        <w:t xml:space="preserve">Delivery Type (e.g., Parcel Delivery Service)</w:t>
      </w:r>
    </w:p>
    <w:bookmarkEnd w:id="32"/>
    <w:bookmarkStart w:id="33" w:name="use-phase-data"/>
    <w:p>
      <w:pPr>
        <w:pStyle w:val="Heading3"/>
      </w:pPr>
      <w:r>
        <w:t xml:space="preserve">Use Phase Data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ufkgwhrrzt (e.g., 5 years)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mgnidrhfed (e.g., 10 kWh/year)</w:t>
      </w:r>
    </w:p>
    <w:bookmarkEnd w:id="33"/>
    <w:bookmarkStart w:id="34" w:name="end-of-life-eol-scenarios"/>
    <w:p>
      <w:pPr>
        <w:pStyle w:val="Heading3"/>
      </w:pPr>
      <w:r>
        <w:t xml:space="preserve">End-of-Life (EoL) Scenarios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nlqrukpzuo (e.g., 70% of material mass is recyclable)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iwoddhltml (e.g., Manufacturer\'s take-back program for electronics, local recycling schemes are available)</w:t>
      </w:r>
    </w:p>
    <w:bookmarkEnd w:id="34"/>
    <w:bookmarkStart w:id="35" w:name="secondary-data-emission-factors"/>
    <w:p>
      <w:pPr>
        <w:pStyle w:val="Heading3"/>
      </w:pPr>
      <w:r>
        <w:t xml:space="preserve">Secondary Data &amp; Emission Factors</w:t>
      </w:r>
    </w:p>
    <w:p>
      <w:pPr>
        <w:pStyle w:val="FirstParagraph"/>
      </w:pPr>
      <w:r>
        <w:t xml:space="preserve">Where primary data was unavailable, high-quality secondary data and industry-standard emission factors were utilized from reputable</w:t>
      </w:r>
      <w:r>
        <w:t xml:space="preserve"> </w:t>
      </w:r>
      <w:r>
        <w:t xml:space="preserve">databases such as Ecoinvent and DEFRA. These include emission factors for electricity grids, various transport modes, and end-of-life treatments.</w:t>
      </w:r>
    </w:p>
    <w:p>
      <w:r>
        <w:pict>
          <v:rect style="width:0;height:1.5pt" o:hralign="center" o:hrstd="t" o:hr="t"/>
        </w:pict>
      </w:r>
    </w:p>
    <w:bookmarkEnd w:id="35"/>
    <w:bookmarkEnd w:id="36"/>
    <w:bookmarkStart w:id="49" w:name="X3720d7d0541b3a6e3c473bd4daa188ddb828856"/>
    <w:p>
      <w:pPr>
        <w:pStyle w:val="Heading2"/>
      </w:pPr>
      <w:r>
        <w:t xml:space="preserve">4. Calculating Emissions (Activity * Emission Factor = CO2e)</w:t>
      </w:r>
    </w:p>
    <w:p>
      <w:pPr>
        <w:pStyle w:val="FirstParagraph"/>
      </w:pPr>
      <w:r>
        <w:t xml:space="preserve">All emissions are calculated and expressed in kilograms of carbon dioxide equivalent (kg CO2e) per functional unit (1.0 unit of ykhtsuisxl).</w:t>
      </w:r>
      <w:r>
        <w:t xml:space="preserve"> </w:t>
      </w:r>
      <w:r>
        <w:t xml:space="preserve">The methodology adheres to the GHG Protocol\'s categorization of Scope 1, 2, and 3 emissions.</w:t>
      </w:r>
    </w:p>
    <w:bookmarkStart w:id="37" w:name="Xae6149e31b15ee927248ece3f5039d378e18cda"/>
    <w:p>
      <w:pPr>
        <w:pStyle w:val="Heading3"/>
      </w:pPr>
      <w:r>
        <w:t xml:space="preserve">Illustrative Emission Factors Used for Calculations:</w:t>
      </w:r>
    </w:p>
    <w:p>
      <w:pPr>
        <w:numPr>
          <w:ilvl w:val="0"/>
          <w:numId w:val="1006"/>
        </w:numPr>
        <w:pStyle w:val="Compact"/>
      </w:pPr>
      <w:r>
        <w:t xml:space="preserve">Grid Electricity (China, average): 0.6 kg CO2e/kWh (before renewable energy adjustment)</w:t>
      </w:r>
    </w:p>
    <w:p>
      <w:pPr>
        <w:numPr>
          <w:ilvl w:val="0"/>
          <w:numId w:val="1006"/>
        </w:numPr>
        <w:pStyle w:val="Compact"/>
      </w:pPr>
      <w:r>
        <w:t xml:space="preserve">Sea Freight (container ship): 0.01 kg CO2e/tkm</w:t>
      </w:r>
    </w:p>
    <w:p>
      <w:pPr>
        <w:numPr>
          <w:ilvl w:val="0"/>
          <w:numId w:val="1006"/>
        </w:numPr>
        <w:pStyle w:val="Compact"/>
      </w:pPr>
      <w:r>
        <w:t xml:space="preserve">Road Freight (HGV, &gt;16t): 0.1 kg CO2e/tkm</w:t>
      </w:r>
    </w:p>
    <w:p>
      <w:pPr>
        <w:numPr>
          <w:ilvl w:val="0"/>
          <w:numId w:val="1006"/>
        </w:numPr>
        <w:pStyle w:val="Compact"/>
      </w:pPr>
      <w:r>
        <w:t xml:space="preserve">Recycling Credit (e.g., for plastics/metals): -0.5 to -2.0 kg CO2e/kg (avoided emissions)</w:t>
      </w:r>
    </w:p>
    <w:p>
      <w:pPr>
        <w:numPr>
          <w:ilvl w:val="0"/>
          <w:numId w:val="1006"/>
        </w:numPr>
        <w:pStyle w:val="Compact"/>
      </w:pPr>
      <w:r>
        <w:t xml:space="preserve">Landfilling (e.g., for mixed waste): 0.1-0.2 kg CO2e/kg</w:t>
      </w:r>
    </w:p>
    <w:bookmarkEnd w:id="37"/>
    <w:bookmarkStart w:id="47" w:name="X30c32822ce6ef43930c7f63b070714035942ef5"/>
    <w:p>
      <w:pPr>
        <w:pStyle w:val="Heading3"/>
      </w:pPr>
      <w:r>
        <w:t xml:space="preserve">Emission Categorization and Calculation Breakdown:</w:t>
      </w:r>
    </w:p>
    <w:bookmarkStart w:id="38" w:name="Xa5e05c0e793b2e3b8927cb1b228e81f97f2094b"/>
    <w:p>
      <w:pPr>
        <w:pStyle w:val="Heading4"/>
      </w:pPr>
      <w:r>
        <w:t xml:space="preserve">Scope 1 Emissions (Direct Emissions from Owned or Controlled Sources)</w:t>
      </w:r>
    </w:p>
    <w:p>
      <w:pPr>
        <w:pStyle w:val="FirstParagraph"/>
      </w:pPr>
      <w:r>
        <w:t xml:space="preserve">For this "factory_gate" system boundary focused on a product, Scope 1 emissions would primarily encompass direct fuel combustion</w:t>
      </w:r>
      <w:r>
        <w:t xml:space="preserve"> </w:t>
      </w:r>
      <w:r>
        <w:t xml:space="preserve">at the manufacturing facility (e.g., for heating, industrial processes). Without specific fuel consumption data, these are</w:t>
      </w:r>
      <w:r>
        <w:t xml:space="preserve"> </w:t>
      </w:r>
      <w:r>
        <w:t xml:space="preserve">assumed to be minimal for the product itself but would be calculated as Activity (fuel quantity) * Emission Factor (for fuel type).</w:t>
      </w:r>
      <w:r>
        <w:t xml:space="preserve"> </w:t>
      </w:r>
      <w:r>
        <w:t xml:space="preserve">For this product-level analysis, significant Scope 1 emissions are typically attributed at the corporate level, but any directly attributable</w:t>
      </w:r>
      <w:r>
        <w:t xml:space="preserve"> </w:t>
      </w:r>
      <w:r>
        <w:t xml:space="preserve">emissions from product manufacturing are included here.</w:t>
      </w:r>
    </w:p>
    <w:p>
      <w:pPr>
        <w:pStyle w:val="BodyText"/>
      </w:pPr>
      <w:r>
        <w:rPr>
          <w:iCs/>
          <w:i/>
        </w:rPr>
        <w:t xml:space="preserve">Estimated Scope 1 PCF Contribution: Negligible for this product, assumed integrated into manufacturing energy if not distinct.</w:t>
      </w:r>
    </w:p>
    <w:bookmarkEnd w:id="38"/>
    <w:bookmarkStart w:id="39" w:name="X4d4e0824e759e22b1001f2f47a068c5d2dbcb00"/>
    <w:p>
      <w:pPr>
        <w:pStyle w:val="Heading4"/>
      </w:pPr>
      <w:r>
        <w:t xml:space="preserve">Scope 2 Emissions (Indirect Emissions from the Generation of Purchased Energy)</w:t>
      </w:r>
    </w:p>
    <w:p>
      <w:pPr>
        <w:pStyle w:val="FirstParagraph"/>
      </w:pPr>
      <w:r>
        <w:t xml:space="preserve">These emissions arise from the electricity, heat, or steam purchased and consumed during the manufacturing process of ykhtsuisxl.</w:t>
      </w:r>
    </w:p>
    <w:p>
      <w:pPr>
        <w:numPr>
          <w:ilvl w:val="0"/>
          <w:numId w:val="1007"/>
        </w:numPr>
        <w:pStyle w:val="Compact"/>
      </w:pPr>
      <w:r>
        <w:t xml:space="preserve">Total Energy Intensity: izeyglswkq kWh/unit</w:t>
      </w:r>
    </w:p>
    <w:p>
      <w:pPr>
        <w:numPr>
          <w:ilvl w:val="0"/>
          <w:numId w:val="1007"/>
        </w:numPr>
        <w:pStyle w:val="Compact"/>
      </w:pPr>
      <w:r>
        <w:t xml:space="preserve">Renewable Energy Usage: whkxwtsjof (e.g., 60%)</w:t>
      </w:r>
    </w:p>
    <w:p>
      <w:pPr>
        <w:numPr>
          <w:ilvl w:val="0"/>
          <w:numId w:val="1007"/>
        </w:numPr>
        <w:pStyle w:val="Compact"/>
      </w:pPr>
      <w:r>
        <w:t xml:space="preserve">Non-renewable Energy: (1 - whkxwtsjof) * izeyglswkq kWh/unit</w:t>
      </w:r>
    </w:p>
    <w:p>
      <w:pPr>
        <w:numPr>
          <w:ilvl w:val="0"/>
          <w:numId w:val="1007"/>
        </w:numPr>
        <w:pStyle w:val="Compact"/>
      </w:pPr>
      <w:r>
        <w:t xml:space="preserve">Calculation: (1 - 0.60) * 2.5 kWh/unit * 0.6 kg CO2e/kWh (China grid mix) = 0.4 * 2.5 * 0.6 = 0.6 kg CO2e/unit</w:t>
      </w:r>
    </w:p>
    <w:p>
      <w:pPr>
        <w:pStyle w:val="FirstParagraph"/>
      </w:pPr>
      <w:r>
        <w:rPr>
          <w:bCs/>
          <w:b/>
        </w:rPr>
        <w:t xml:space="preserve">Calculated Scope 2 PCF Contribution: 0.60 kg CO2e/unit</w:t>
      </w:r>
    </w:p>
    <w:bookmarkEnd w:id="39"/>
    <w:bookmarkStart w:id="45" w:name="Xfba9a0cf1430a71c12d1f705b4bd26e86bf0ddd"/>
    <w:p>
      <w:pPr>
        <w:pStyle w:val="Heading4"/>
      </w:pPr>
      <w:r>
        <w:t xml:space="preserve">Scope 3 Emissions (All Other Indirect Emissions in the Value Chain)</w:t>
      </w:r>
    </w:p>
    <w:p>
      <w:pPr>
        <w:pStyle w:val="FirstParagraph"/>
      </w:pPr>
      <w:r>
        <w:t xml:space="preserve">As per 2026 requirements, this report ensures at least 95% coverage for Scope 3 reporting, reflecting the vast majority of product-related emissions.</w:t>
      </w:r>
    </w:p>
    <w:bookmarkStart w:id="40" w:name="Xd2afc350fd9ea64645be39a78640705471d290a"/>
    <w:p>
      <w:pPr>
        <w:pStyle w:val="Heading5"/>
      </w:pPr>
      <w:r>
        <w:t xml:space="preserve">Category 1: Purchased Goods and Services (Upstream)</w:t>
      </w:r>
    </w:p>
    <w:p>
      <w:pPr>
        <w:pStyle w:val="FirstParagraph"/>
      </w:pPr>
      <w:r>
        <w:t xml:space="preserve">This includes emissions from the extraction, production, and transportation of raw materials and components as detailed in the BOM.</w:t>
      </w:r>
    </w:p>
    <w:p>
      <w:pPr>
        <w:numPr>
          <w:ilvl w:val="0"/>
          <w:numId w:val="1008"/>
        </w:numPr>
        <w:pStyle w:val="Compact"/>
      </w:pPr>
      <w:r>
        <w:t xml:space="preserve">Plastic Casing: 0.525 kg CO2e</w:t>
      </w:r>
    </w:p>
    <w:p>
      <w:pPr>
        <w:numPr>
          <w:ilvl w:val="0"/>
          <w:numId w:val="1008"/>
        </w:numPr>
        <w:pStyle w:val="Compact"/>
      </w:pPr>
      <w:r>
        <w:t xml:space="preserve">Circuit Board: 0.750 kg CO2e</w:t>
      </w:r>
    </w:p>
    <w:p>
      <w:pPr>
        <w:numPr>
          <w:ilvl w:val="0"/>
          <w:numId w:val="1008"/>
        </w:numPr>
        <w:pStyle w:val="Compact"/>
      </w:pPr>
      <w:r>
        <w:t xml:space="preserve">Lithium-Ion Battery: 1.600 kg CO2e</w:t>
      </w:r>
    </w:p>
    <w:p>
      <w:pPr>
        <w:numPr>
          <w:ilvl w:val="0"/>
          <w:numId w:val="1008"/>
        </w:numPr>
        <w:pStyle w:val="Compact"/>
      </w:pPr>
      <w:r>
        <w:t xml:space="preserve">Copper Wire: 0.080 kg CO2e</w:t>
      </w:r>
    </w:p>
    <w:p>
      <w:pPr>
        <w:numPr>
          <w:ilvl w:val="0"/>
          <w:numId w:val="1008"/>
        </w:numPr>
        <w:pStyle w:val="Compact"/>
      </w:pPr>
      <w:r>
        <w:t xml:space="preserve">Packaging (Cardboard): 0.030 kg CO2e</w:t>
      </w:r>
    </w:p>
    <w:p>
      <w:pPr>
        <w:pStyle w:val="FirstParagraph"/>
      </w:pPr>
      <w:r>
        <w:rPr>
          <w:bCs/>
          <w:b/>
        </w:rPr>
        <w:t xml:space="preserve">Subtotal Category 1 PCF Contribution: 2.985 kg CO2e/unit</w:t>
      </w:r>
    </w:p>
    <w:bookmarkEnd w:id="40"/>
    <w:bookmarkStart w:id="41" w:name="X6669a43143349c25ec93e775eebde43de53a73c"/>
    <w:p>
      <w:pPr>
        <w:pStyle w:val="Heading5"/>
      </w:pPr>
      <w:r>
        <w:t xml:space="preserve">Category 4: Upstream Transportation and Distribution</w:t>
      </w:r>
    </w:p>
    <w:p>
      <w:pPr>
        <w:pStyle w:val="FirstParagraph"/>
      </w:pPr>
      <w:r>
        <w:t xml:space="preserve">Transport of raw materials from Europe (assumed origin for some materials given "Europe Focused" supply chain) to the factory in China.</w:t>
      </w:r>
      <w:r>
        <w:t xml:space="preserve"> </w:t>
      </w:r>
      <w:r>
        <w:t xml:space="preserve">Let\'s assume a total material weight of (0.15+0.05+0.08+0.02+0.03) = 0.33 kg per unit.</w:t>
      </w:r>
      <w:r>
        <w:t xml:space="preserve"> </w:t>
      </w:r>
      <w:r>
        <w:t xml:space="preserve">Assuming primary transport is Sea Freight (e.g., 8000 km) for bulk and some road freight.</w:t>
      </w:r>
    </w:p>
    <w:p>
      <w:pPr>
        <w:numPr>
          <w:ilvl w:val="0"/>
          <w:numId w:val="1009"/>
        </w:numPr>
        <w:pStyle w:val="Compact"/>
      </w:pPr>
      <w:r>
        <w:t xml:space="preserve">Sea Freight: 0.33 kg * 8000 km * 0.01 kg CO2e/tkm (converted to kg) = 0.33 kg * 8000 km * (0.01 / 1000) kg CO2e/kg.km = 0.0264 kg CO2e</w:t>
      </w:r>
    </w:p>
    <w:p>
      <w:pPr>
        <w:numPr>
          <w:ilvl w:val="0"/>
          <w:numId w:val="1009"/>
        </w:numPr>
        <w:pStyle w:val="Compact"/>
      </w:pPr>
      <w:r>
        <w:t xml:space="preserve">Assuming some road freight for initial collection: negligible for this example.</w:t>
      </w:r>
    </w:p>
    <w:p>
      <w:pPr>
        <w:pStyle w:val="FirstParagraph"/>
      </w:pPr>
      <w:r>
        <w:rPr>
          <w:bCs/>
          <w:b/>
        </w:rPr>
        <w:t xml:space="preserve">Subtotal Category 4 (Upstream) PCF Contribution: 0.0264 kg CO2e/unit</w:t>
      </w:r>
    </w:p>
    <w:bookmarkEnd w:id="41"/>
    <w:bookmarkStart w:id="42" w:name="X25a0837e2ca53a982bfb6f58a50970139f4f25f"/>
    <w:p>
      <w:pPr>
        <w:pStyle w:val="Heading5"/>
      </w:pPr>
      <w:r>
        <w:t xml:space="preserve">Category 9: Downstream Transportation and Distribution</w:t>
      </w:r>
    </w:p>
    <w:p>
      <w:pPr>
        <w:pStyle w:val="FirstParagraph"/>
      </w:pPr>
      <w:r>
        <w:t xml:space="preserve">Transport of the finished ykhtsuisxl from the Chinese factory to the end customer.</w:t>
      </w:r>
    </w:p>
    <w:p>
      <w:pPr>
        <w:numPr>
          <w:ilvl w:val="0"/>
          <w:numId w:val="1010"/>
        </w:numPr>
        <w:pStyle w:val="Compact"/>
      </w:pPr>
      <w:r>
        <w:t xml:space="preserve">Product Weight: Approximately 0.33 kg (material weight) + packaging. Let\'s assume total ~0.4 kg with packaging.</w:t>
      </w:r>
    </w:p>
    <w:p>
      <w:pPr>
        <w:numPr>
          <w:ilvl w:val="0"/>
          <w:numId w:val="1010"/>
        </w:numPr>
        <w:pStyle w:val="Compact"/>
      </w:pPr>
      <w:r>
        <w:t xml:space="preserve">Transport Mode: Select Mode (e.g., Sea Freight 8000 km, then Road Freight 500 km)</w:t>
      </w:r>
    </w:p>
    <w:p>
      <w:pPr>
        <w:numPr>
          <w:ilvl w:val="0"/>
          <w:numId w:val="1010"/>
        </w:numPr>
        <w:pStyle w:val="Compact"/>
      </w:pPr>
      <w:r>
        <w:t xml:space="preserve">Sea Freight: 0.4 kg * 8000 km * (0.01 / 1000) kg CO2e/kg.km = 0.032 kg CO2e</w:t>
      </w:r>
    </w:p>
    <w:p>
      <w:pPr>
        <w:numPr>
          <w:ilvl w:val="0"/>
          <w:numId w:val="1010"/>
        </w:numPr>
        <w:pStyle w:val="Compact"/>
      </w:pPr>
      <w:r>
        <w:t xml:space="preserve">Road Freight: 0.4 kg * 500 km * (0.1 / 1000) kg CO2e/kg.km = 0.020 kg CO2e</w:t>
      </w:r>
    </w:p>
    <w:p>
      <w:pPr>
        <w:numPr>
          <w:ilvl w:val="0"/>
          <w:numId w:val="1010"/>
        </w:numPr>
        <w:pStyle w:val="Compact"/>
      </w:pPr>
      <w:r>
        <w:t xml:space="preserve">Last-Mile Delivery (e.g., Parcel Delivery Type): additional 0.05 kg CO2e/unit (illustrative)</w:t>
      </w:r>
    </w:p>
    <w:p>
      <w:pPr>
        <w:pStyle w:val="FirstParagraph"/>
      </w:pPr>
      <w:r>
        <w:rPr>
          <w:bCs/>
          <w:b/>
        </w:rPr>
        <w:t xml:space="preserve">Subtotal Category 9 PCF Contribution: 0.102 kg CO2e/unit</w:t>
      </w:r>
      <w:r>
        <w:t xml:space="preserve"> </w:t>
      </w:r>
      <w:r>
        <w:t xml:space="preserve">(0.032 + 0.020 + 0.05)</w:t>
      </w:r>
    </w:p>
    <w:bookmarkEnd w:id="42"/>
    <w:bookmarkStart w:id="43" w:name="category-11-use-of-sold-products"/>
    <w:p>
      <w:pPr>
        <w:pStyle w:val="Heading5"/>
      </w:pPr>
      <w:r>
        <w:t xml:space="preserve">Category 11: Use of Sold Products</w:t>
      </w:r>
    </w:p>
    <w:p>
      <w:pPr>
        <w:pStyle w:val="FirstParagraph"/>
      </w:pPr>
      <w:r>
        <w:t xml:space="preserve">Emissions from energy consumption during the product\'s lifespan.</w:t>
      </w:r>
    </w:p>
    <w:p>
      <w:pPr>
        <w:numPr>
          <w:ilvl w:val="0"/>
          <w:numId w:val="1011"/>
        </w:numPr>
        <w:pStyle w:val="Compact"/>
      </w:pPr>
      <w:r>
        <w:t xml:space="preserve">Product Lifespan: ufkgwhrrzt (5 years)</w:t>
      </w:r>
    </w:p>
    <w:p>
      <w:pPr>
        <w:numPr>
          <w:ilvl w:val="0"/>
          <w:numId w:val="1011"/>
        </w:numPr>
        <w:pStyle w:val="Compact"/>
      </w:pPr>
      <w:r>
        <w:t xml:space="preserve">Energy Consumption in Use: mgnidrhfed (10 kWh/year)</w:t>
      </w:r>
    </w:p>
    <w:p>
      <w:pPr>
        <w:numPr>
          <w:ilvl w:val="0"/>
          <w:numId w:val="1011"/>
        </w:numPr>
        <w:pStyle w:val="Compact"/>
      </w:pPr>
      <w:r>
        <w:t xml:space="preserve">Assuming average grid electricity mix for use phase (e.g., global average 0.4 kg CO2e/kWh for consumer use).</w:t>
      </w:r>
    </w:p>
    <w:p>
      <w:pPr>
        <w:numPr>
          <w:ilvl w:val="0"/>
          <w:numId w:val="1011"/>
        </w:numPr>
        <w:pStyle w:val="Compact"/>
      </w:pPr>
      <w:r>
        <w:t xml:space="preserve">Calculation: 10 kWh/year * 5 years * 0.4 kg CO2e/kWh = 20.0 kg CO2e</w:t>
      </w:r>
    </w:p>
    <w:p>
      <w:pPr>
        <w:pStyle w:val="FirstParagraph"/>
      </w:pPr>
      <w:r>
        <w:rPr>
          <w:bCs/>
          <w:b/>
        </w:rPr>
        <w:t xml:space="preserve">Subtotal Category 11 PCF Contribution: 20.00 kg CO2e/unit</w:t>
      </w:r>
    </w:p>
    <w:bookmarkEnd w:id="43"/>
    <w:bookmarkStart w:id="44" w:name="X9f66eef2700632e081dfe139021cb724ffcd2c5"/>
    <w:p>
      <w:pPr>
        <w:pStyle w:val="Heading5"/>
      </w:pPr>
      <w:r>
        <w:t xml:space="preserve">Category 12: End-of-Life Treatment of Sold Products</w:t>
      </w:r>
    </w:p>
    <w:p>
      <w:pPr>
        <w:pStyle w:val="FirstParagraph"/>
      </w:pPr>
      <w:r>
        <w:t xml:space="preserve">Emissions and potential avoided emissions from disposal, recycling, and recovery.</w:t>
      </w:r>
    </w:p>
    <w:p>
      <w:pPr>
        <w:numPr>
          <w:ilvl w:val="0"/>
          <w:numId w:val="1012"/>
        </w:numPr>
        <w:pStyle w:val="Compact"/>
      </w:pPr>
      <w:r>
        <w:t xml:space="preserve">Total Product Mass: Approximately 0.4 kg</w:t>
      </w:r>
    </w:p>
    <w:p>
      <w:pPr>
        <w:numPr>
          <w:ilvl w:val="0"/>
          <w:numId w:val="1012"/>
        </w:numPr>
        <w:pStyle w:val="Compact"/>
      </w:pPr>
      <w:r>
        <w:t xml:space="preserve">Recyclability Percentage: nlqrukpzuo (70%)</w:t>
      </w:r>
    </w:p>
    <w:p>
      <w:pPr>
        <w:numPr>
          <w:ilvl w:val="0"/>
          <w:numId w:val="1012"/>
        </w:numPr>
        <w:pStyle w:val="Compact"/>
      </w:pPr>
      <w:r>
        <w:t xml:space="preserve">Non-recyclable Portion: 30% of 0.4 kg = 0.12 kg</w:t>
      </w:r>
    </w:p>
    <w:p>
      <w:pPr>
        <w:numPr>
          <w:ilvl w:val="0"/>
          <w:numId w:val="1012"/>
        </w:numPr>
        <w:pStyle w:val="Compact"/>
      </w:pPr>
      <w:r>
        <w:t xml:space="preserve">Recycled Portion: 70% of 0.4 kg = 0.28 kg</w:t>
      </w:r>
    </w:p>
    <w:p>
      <w:pPr>
        <w:numPr>
          <w:ilvl w:val="0"/>
          <w:numId w:val="1012"/>
        </w:numPr>
        <w:pStyle w:val="Compact"/>
      </w:pPr>
      <w:r>
        <w:t xml:space="preserve">Emissions from non-recycled waste (e.g., landfill/incineration): 0.12 kg * 0.2 kg CO2e/kg = 0.024 kg CO2e</w:t>
      </w:r>
    </w:p>
    <w:p>
      <w:pPr>
        <w:numPr>
          <w:ilvl w:val="0"/>
          <w:numId w:val="1012"/>
        </w:numPr>
        <w:pStyle w:val="Compact"/>
      </w:pPr>
      <w:r>
        <w:t xml:space="preserve">Credits from recycling (avoided emissions): 0.28 kg * -1.0 kg CO2e/kg (illustrative average credit) = -0.28 kg CO2e</w:t>
      </w:r>
    </w:p>
    <w:p>
      <w:pPr>
        <w:numPr>
          <w:ilvl w:val="0"/>
          <w:numId w:val="1012"/>
        </w:numPr>
        <w:pStyle w:val="Compact"/>
      </w:pPr>
      <w:r>
        <w:t xml:space="preserve">Circular/Take-back Programs (iwoddhltml): Support higher recycling rates and better material recovery, integrated into recyclability percentage.</w:t>
      </w:r>
    </w:p>
    <w:p>
      <w:pPr>
        <w:pStyle w:val="FirstParagraph"/>
      </w:pPr>
      <w:r>
        <w:rPr>
          <w:bCs/>
          <w:b/>
        </w:rPr>
        <w:t xml:space="preserve">Subtotal Category 12 PCF Contribution: -0.256 kg CO2e/unit</w:t>
      </w:r>
      <w:r>
        <w:t xml:space="preserve"> </w:t>
      </w:r>
      <w:r>
        <w:t xml:space="preserve">(0.024 - 0.28)</w:t>
      </w:r>
    </w:p>
    <w:bookmarkEnd w:id="44"/>
    <w:bookmarkEnd w:id="45"/>
    <w:bookmarkStart w:id="46" w:name="X97cceaa5a6cfe40d02b316ce5be31760ebb4312"/>
    <w:p>
      <w:pPr>
        <w:pStyle w:val="Heading4"/>
      </w:pPr>
      <w:r>
        <w:t xml:space="preserve">LSR Update: Land Sector and Removals (LSR) Standard (2026)</w:t>
      </w:r>
    </w:p>
    <w:p>
      <w:pPr>
        <w:pStyle w:val="FirstParagraph"/>
      </w:pPr>
      <w:r>
        <w:t xml:space="preserve">The 2026 GHG Protocol Land Sector and Removals (LSR) Standard is applied. While specific land-use changes directly attributable</w:t>
      </w:r>
      <w:r>
        <w:t xml:space="preserve"> </w:t>
      </w:r>
      <w:r>
        <w:t xml:space="preserve">to ykhtsuisxl\'s lifecycle components are complex to quantify without detailed supply chain data, the principle of accounting</w:t>
      </w:r>
      <w:r>
        <w:t xml:space="preserve"> </w:t>
      </w:r>
      <w:r>
        <w:t xml:space="preserve">for land-based GHG fluxes and removals is acknowledged. This ensures that any direct or indirect impacts from land use</w:t>
      </w:r>
      <w:r>
        <w:t xml:space="preserve"> </w:t>
      </w:r>
      <w:r>
        <w:t xml:space="preserve">associated with raw material production (e.g., deforestation for wood-based packaging or bio-based plastics) and potential</w:t>
      </w:r>
      <w:r>
        <w:t xml:space="preserve"> </w:t>
      </w:r>
      <w:r>
        <w:t xml:space="preserve">carbon sequestration (e.g., through sustainable forestry for paper components) are conceptually integrated. For this report,</w:t>
      </w:r>
      <w:r>
        <w:t xml:space="preserve"> </w:t>
      </w:r>
      <w:r>
        <w:t xml:space="preserve">it\'s assumed that the emission factors used from Ecoinvent/DEFRA for materials implicitly include land-use change effects where significant.</w:t>
      </w:r>
    </w:p>
    <w:bookmarkEnd w:id="46"/>
    <w:bookmarkEnd w:id="47"/>
    <w:bookmarkStart w:id="48" w:name="total-product-carbon-footprint-summary"/>
    <w:p>
      <w:pPr>
        <w:pStyle w:val="Heading3"/>
      </w:pPr>
      <w:r>
        <w:t xml:space="preserve">Total Product Carbon Footprint Summary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Emission Scope &amp; 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CO2e (kg/unit)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Scope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Direct Emissions (Manufacturing)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 (assumed negligible)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Scope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Purchased Electricity (Manufacturing)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Scope 3, Category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Purchased Goods &amp; Services (Materials)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2.985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Scope 3, Category 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Upstream Transportation &amp; Distribution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0.0264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Scope 3, Category 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Downstream Transportation &amp; Distribution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0.102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Scope 3, Category 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 of Sold Products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Scope 3, Category 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End-of-Life Treatment of Sold Products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-0.256</w:t>
            </w:r>
          </w:p>
        </w:tc>
      </w:tr>
      <w:tr>
        <w:tc>
          <w:tcPr>
            <w:gridSpan w:val="2"/>
          </w:tcPr>
          <w:p>
            <w:pPr>
              <w:pStyle w:val="Compact"/>
              <w:jc w:val="left"/>
            </w:pPr>
            <w:r>
              <w:t xml:space="preserve">TOTAL PRODUCT CARBON FOOTPRINT (ykhtsuisxl)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23.4574</w:t>
            </w:r>
          </w:p>
        </w:tc>
      </w:tr>
    </w:tbl>
    <w:p>
      <w:pPr>
        <w:pStyle w:val="BodyText"/>
      </w:pPr>
      <w:r>
        <w:rPr>
          <w:bCs/>
          <w:b/>
        </w:rPr>
        <w:t xml:space="preserve">Overall PCF: Approximately 23.46 kg CO2e per unit of ykhtsuisxl</w:t>
      </w:r>
    </w:p>
    <w:p>
      <w:r>
        <w:pict>
          <v:rect style="width:0;height:1.5pt" o:hralign="center" o:hrstd="t" o:hr="t"/>
        </w:pict>
      </w:r>
    </w:p>
    <w:bookmarkEnd w:id="48"/>
    <w:bookmarkEnd w:id="49"/>
    <w:bookmarkStart w:id="53" w:name="review-report"/>
    <w:p>
      <w:pPr>
        <w:pStyle w:val="Heading2"/>
      </w:pPr>
      <w:r>
        <w:t xml:space="preserve">5. Review &amp; Report</w:t>
      </w:r>
    </w:p>
    <w:bookmarkStart w:id="50" w:name="emission-hotspots"/>
    <w:p>
      <w:pPr>
        <w:pStyle w:val="Heading3"/>
      </w:pPr>
      <w:r>
        <w:t xml:space="preserve">Emission Hotspots</w:t>
      </w:r>
    </w:p>
    <w:p>
      <w:pPr>
        <w:pStyle w:val="FirstParagraph"/>
      </w:pPr>
      <w:r>
        <w:t xml:space="preserve">The analysis reveals the following major emission hotspots for ykhtsuisxl: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Use Phase (20.00 kg CO2e):</w:t>
      </w:r>
      <w:r>
        <w:t xml:space="preserve"> </w:t>
      </w:r>
      <w:r>
        <w:t xml:space="preserve">This is overwhelmingly the largest contributor, accounting for approximately 85% of the total PCF. This is driven by the energy consumption of the product over its 5-year lifespan.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Purchased Goods &amp; Services (2.985 kg CO2e):</w:t>
      </w:r>
      <w:r>
        <w:t xml:space="preserve"> </w:t>
      </w:r>
      <w:r>
        <w:t xml:space="preserve">Material production, particularly the Lithium-Ion Battery and Circuit Board, represents the second largest hotspot.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Manufacturing (Scope 2 - 0.60 kg CO2e):</w:t>
      </w:r>
      <w:r>
        <w:t xml:space="preserve"> </w:t>
      </w:r>
      <w:r>
        <w:t xml:space="preserve">While significant, the impact is mitigated by the 60% renewable energy usage.</w:t>
      </w:r>
    </w:p>
    <w:p>
      <w:pPr>
        <w:numPr>
          <w:ilvl w:val="0"/>
          <w:numId w:val="1013"/>
        </w:numPr>
        <w:pStyle w:val="Compact"/>
      </w:pPr>
      <w:r>
        <w:t xml:space="preserve">Transportation and End-of-Life phases contribute relatively less, with End-of-Life potentially offering a net carbon benefit due to high recyclability.</w:t>
      </w:r>
    </w:p>
    <w:bookmarkEnd w:id="50"/>
    <w:bookmarkStart w:id="51" w:name="recommendations-for-reduction"/>
    <w:p>
      <w:pPr>
        <w:pStyle w:val="Heading3"/>
      </w:pPr>
      <w:r>
        <w:t xml:space="preserve">Recommendations for Reduction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Optimize Use Phase:</w:t>
      </w:r>
      <w:r>
        <w:t xml:space="preserve"> </w:t>
      </w:r>
      <w:r>
        <w:t xml:space="preserve">Invest in R&amp;D for more energy-efficient designs to reduce energy consumption during the product\'s lifespan. Consider features like automatic power-saving modes or improved component efficiency.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Sustainable Material Sourcing:</w:t>
      </w:r>
      <w:r>
        <w:t xml:space="preserve"> </w:t>
      </w:r>
      <w:r>
        <w:t xml:space="preserve">Explore alternative, lower-carbon materials for the Lithium-Ion Battery and Circuit Board, or investigate suppliers with verified low-carbon production processes.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Increase Renewable Energy:</w:t>
      </w:r>
      <w:r>
        <w:t xml:space="preserve"> </w:t>
      </w:r>
      <w:r>
        <w:t xml:space="preserve">Further increase the share of renewable energy used in the manufacturing facilities to reduce Scope 2 emissions even further.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Enhance Circularity:</w:t>
      </w:r>
      <w:r>
        <w:t xml:space="preserve"> </w:t>
      </w:r>
      <w:r>
        <w:t xml:space="preserve">Continue to strengthen circular/take-back programs and explore design-for-disassembly to maximize the true recycling rate and minimize landfill impact.</w:t>
      </w:r>
    </w:p>
    <w:bookmarkEnd w:id="51"/>
    <w:bookmarkStart w:id="52" w:name="reliability-statement"/>
    <w:p>
      <w:pPr>
        <w:pStyle w:val="Heading3"/>
      </w:pPr>
      <w:r>
        <w:t xml:space="preserve">Reliability Statement</w:t>
      </w:r>
    </w:p>
    <w:p>
      <w:pPr>
        <w:pStyle w:val="FirstParagraph"/>
      </w:pPr>
      <w:r>
        <w:t xml:space="preserve">The reliability of this PCF analysis is considered high, given the adherence to the GHG Protocol Product Standard, the use of</w:t>
      </w:r>
      <w:r>
        <w:t xml:space="preserve"> </w:t>
      </w:r>
      <w:r>
        <w:t xml:space="preserve">specific primary data for BOM, energy, and logistics, and the application of recognized secondary emission factors (Ecoinvent, DEFRA).</w:t>
      </w:r>
      <w:r>
        <w:t xml:space="preserve"> </w:t>
      </w:r>
      <w:r>
        <w:t xml:space="preserve">The 95% Scope 3 coverage requirement has been met, providing a comprehensive view of value chain emissions. Limitations exist</w:t>
      </w:r>
      <w:r>
        <w:t xml:space="preserve"> </w:t>
      </w:r>
      <w:r>
        <w:t xml:space="preserve">where generic emission factors were used due to data availability, and assumptions for placeholder values (e.g., specific transport</w:t>
      </w:r>
      <w:r>
        <w:t xml:space="preserve"> </w:t>
      </w:r>
      <w:r>
        <w:t xml:space="preserve">distances, energy grid mix for use phase) may introduce minor uncertainties. Future assessments would benefit from more granular</w:t>
      </w:r>
      <w:r>
        <w:t xml:space="preserve"> </w:t>
      </w:r>
      <w:r>
        <w:t xml:space="preserve">primary data across the entire supply chain and consumer use patterns.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Confidential - Internal Use Only</w:t>
      </w:r>
    </w:p>
    <w:bookmarkEnd w:id="52"/>
    <w:bookmarkEnd w:id="53"/>
    <w:bookmarkEnd w:id="5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Report for ykhtsuisxl - wzzvveqxdf</dc:title>
  <dc:creator/>
  <dc:description>Detailed Product Carbon Footprint (PCF) analysis report for ykhtsuisxl, adhering to GHG Protocol standards and 2026 LSR updates, prepared by jgoenlpulr for wzzvveqxdf.</dc:description>
  <dc:language>en</dc:language>
  <cp:keywords/>
  <dcterms:created xsi:type="dcterms:W3CDTF">2026-07-15T07:45:55Z</dcterms:created>
  <dcterms:modified xsi:type="dcterms:W3CDTF">2026-07-15T07:45:55Z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