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yjywojyqyk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yjywojyqyk</w:t>
      </w:r>
    </w:p>
    <w:p>
      <w:pPr>
        <w:pStyle w:val="BodyText"/>
      </w:pPr>
      <w:r>
        <w:rPr>
          <w:bCs/>
          <w:b/>
        </w:rPr>
        <w:t xml:space="preserve">Name of the Company:</w:t>
      </w:r>
      <w:r>
        <w:t xml:space="preserve"> </w:t>
      </w:r>
      <w:r>
        <w:t xml:space="preserve">swksegiqfj</w:t>
      </w:r>
    </w:p>
    <w:p>
      <w:pPr>
        <w:pStyle w:val="BodyText"/>
      </w:pPr>
      <w:r>
        <w:rPr>
          <w:bCs/>
          <w:b/>
        </w:rPr>
        <w:t xml:space="preserve">Senior Sustainability Consultant:</w:t>
      </w:r>
      <w:r>
        <w:t xml:space="preserve"> </w:t>
      </w:r>
      <w:r>
        <w:t xml:space="preserve">wjjxppfuxr</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Actual values may vary depending on specific operational details and data precision.</w:t>
      </w:r>
    </w:p>
    <w:bookmarkEnd w:id="20"/>
    <w:bookmarkStart w:id="21" w:name="X6455a17b3d4681327aa62a5a19a835af279365b"/>
    <w:p>
      <w:pPr>
        <w:pStyle w:val="Heading1"/>
      </w:pPr>
      <w:r>
        <w:t xml:space="preserve">Product Carbon Footprint Analysis: yjywojyqyk</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yjywojyqyk, conducted for swksegiqfj by wjjxppfuxr, Senior Sustainability Consultant. The analysis strictly adheres to the GHG Protocol accounting standard, incorporating the 2026 Land Sector and Removals (LSR) update and ensuring at least 95% coverage for Scope 3 emissions. The goal is to identify significant emission hotspots across the product\'s lifecycle, from raw material acquisition to end-of-life, and provide a robust baseline for future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yjywojyqyk follows a five-step methodology as per GHG Protocol guidelines, focusing on transparency and accuracy in emissions quantification.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yjywojyqyk</w:t>
      </w:r>
      <w:r>
        <w:t xml:space="preserve">, providing a consistent basis for quantification and comparison of environmental impacts.</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"cradle-to-gate"</w:t>
      </w:r>
      <w:r>
        <w:t xml:space="preserve"> </w:t>
      </w:r>
      <w:r>
        <w:t xml:space="preserve">approach, defined as</w:t>
      </w:r>
      <w:r>
        <w:t xml:space="preserve"> </w:t>
      </w:r>
      <w:r>
        <w:rPr>
          <w:bCs/>
          <w:b/>
        </w:rPr>
        <w:t xml:space="preserve">factory_gate</w:t>
      </w:r>
      <w:r>
        <w:t xml:space="preserve">. This includes all lifecycle stages from raw material extraction and processing, through manufacturing and assembly, up to the point where the finished product leaves the final production facility. Downstream stages such as transportation to the customer, the use phase, and end-of-life are also included as per the comprehensive PCF requirement. The analysis categorizes emissions into Scope 1 (direct emissions), Scope 2 (purchased energy emissions), and Scope 3 (all other indirect emissions in the value chain), in strict accordance with the GHG Protocol.</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focus acknowledges the primary manufacturing location while recognizing the significant influence of European supply chain operations and regulatory contexts.</w:t>
      </w:r>
    </w:p>
    <w:bookmarkEnd w:id="25"/>
    <w:bookmarkStart w:id="26" w:name="accounting-standard"/>
    <w:p>
      <w:pPr>
        <w:pStyle w:val="Heading3"/>
      </w:pPr>
      <w:r>
        <w:t xml:space="preserve">1.4 Accounting Standard</w:t>
      </w:r>
    </w:p>
    <w:p>
      <w:pPr>
        <w:pStyle w:val="FirstParagraph"/>
      </w:pPr>
      <w:r>
        <w:t xml:space="preserve">This PCF analysis is performed in strict accordance with the</w:t>
      </w:r>
      <w:r>
        <w:t xml:space="preserve"> </w:t>
      </w:r>
      <w:r>
        <w:rPr>
          <w:bCs/>
          <w:b/>
        </w:rPr>
        <w:t xml:space="preserve">GHG Protocol Product Standard</w:t>
      </w:r>
      <w:r>
        <w:t xml:space="preserve"> </w:t>
      </w:r>
      <w:r>
        <w:t xml:space="preserve">(A Corporate Accounting and Reporting Standard). Furthermore, it incorporates the requirements of the</w:t>
      </w:r>
      <w:r>
        <w:t xml:space="preserve"> </w:t>
      </w:r>
      <w:r>
        <w:rPr>
          <w:bCs/>
          <w:b/>
        </w:rPr>
        <w:t xml:space="preserve">2026 Land Sector and Removals (LSR) Standard</w:t>
      </w:r>
      <w:r>
        <w:t xml:space="preserve"> </w:t>
      </w:r>
      <w:r>
        <w:t xml:space="preserve">for land use and carbon removals, ensuring a comprehensive assessment of all relevant greenhouse gas fluxes. The analysis aims for at least</w:t>
      </w:r>
      <w:r>
        <w:t xml:space="preserve"> </w:t>
      </w:r>
      <w:r>
        <w:rPr>
          <w:bCs/>
          <w:b/>
        </w:rPr>
        <w:t xml:space="preserve">95% coverage for Scope 3 reporting</w:t>
      </w:r>
      <w:r>
        <w:t xml:space="preserve">, aligning with anticipated 2026 requirements for comprehensive value chain transparency.</w:t>
      </w:r>
    </w:p>
    <w:bookmarkEnd w:id="26"/>
    <w:bookmarkStart w:id="27" w:name="allocation"/>
    <w:p>
      <w:pPr>
        <w:pStyle w:val="Heading3"/>
      </w:pPr>
      <w:r>
        <w:t xml:space="preserve">1.5 Allocation</w:t>
      </w:r>
    </w:p>
    <w:p>
      <w:pPr>
        <w:pStyle w:val="FirstParagraph"/>
      </w:pPr>
      <w:r>
        <w:t xml:space="preserve">Allocation of emissions for co-products and recycling is performed based on mass allocation where appropriate, following GHG Protocol guidance. Specific allocation details are provided for relevant processes within the data collection and calculation sections.</w:t>
      </w:r>
    </w:p>
    <w:p>
      <w:r>
        <w:pict>
          <v:rect style="width:0;height:1.5pt" o:hralign="center" o:hrstd="t" o:hr="t"/>
        </w:pict>
      </w:r>
    </w:p>
    <w:bookmarkEnd w:id="27"/>
    <w:bookmarkEnd w:id="28"/>
    <w:bookmarkStart w:id="34" w:name="X8640d10399eff6f74357736cb56d1cbb72dfd8b"/>
    <w:p>
      <w:pPr>
        <w:pStyle w:val="Heading2"/>
      </w:pPr>
      <w:r>
        <w:t xml:space="preserve">2. Lifecycle Inventory (LCI) Mapping and Data Collection</w:t>
      </w:r>
    </w:p>
    <w:p>
      <w:pPr>
        <w:pStyle w:val="FirstParagraph"/>
      </w:pPr>
      <w:r>
        <w:t xml:space="preserve">The lifecycle of yjywojyqyk is mapped into distinct stages to ensure a systematic inventory of all relevant inputs and outputs. Data collection integrates primary data where available and industry-standard secondary data for robust estimations.</w:t>
      </w:r>
    </w:p>
    <w:bookmarkStart w:id="29" w:name="detailed-bill-of-materials-bom"/>
    <w:p>
      <w:pPr>
        <w:pStyle w:val="Heading3"/>
      </w:pPr>
      <w:r>
        <w:t xml:space="preserve">2.1 Detailed Bill of Materials (BOM)</w:t>
      </w:r>
    </w:p>
    <w:p>
      <w:pPr>
        <w:pStyle w:val="FirstParagraph"/>
      </w:pPr>
      <w:r>
        <w:t xml:space="preserve">The following detailed Bill of Materials (BOM) was provided for yjywojyqyk. These specific values are used for high-accuracy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Sheet</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ABS Plastic, Virgin</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Integrated Circuit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bl>
    <w:p>
      <w:pPr>
        <w:pStyle w:val="BodyText"/>
      </w:pPr>
      <w:r>
        <w:t xml:space="preserve">The "Total Carbon" column in the BOM represents the direct material footprint (Qty * Emission Factor) for each component.</w:t>
      </w:r>
    </w:p>
    <w:p>
      <w:pPr>
        <w:pStyle w:val="BodyText"/>
      </w:pPr>
      <w:r>
        <w:rPr>
          <w:bCs/>
          <w:b/>
        </w:rPr>
        <w:t xml:space="preserve">Total Material CO2e:</w:t>
      </w:r>
      <w:r>
        <w:t xml:space="preserve"> </w:t>
      </w:r>
      <w:r>
        <w:t xml:space="preserve">17.65 kg CO2e</w:t>
      </w:r>
    </w:p>
    <w:p>
      <w:pPr>
        <w:pStyle w:val="BodyText"/>
      </w:pPr>
      <w:r>
        <w:rPr>
          <w:bCs/>
          <w:b/>
        </w:rPr>
        <w:t xml:space="preserve">Total Product Weight:</w:t>
      </w:r>
      <w:r>
        <w:t xml:space="preserve"> </w:t>
      </w:r>
      <w:r>
        <w:t xml:space="preserve">2.5 + 1.2 + 0.05 (assuming unit weight for IC is small) + 0.1 + 0.3 = 4.15 kg (approx., for transport calculations, assuming IC unit weight is negligible in comparison to kg materials).</w:t>
      </w:r>
    </w:p>
    <w:bookmarkEnd w:id="29"/>
    <w:bookmarkStart w:id="30"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2.5 kWh/unit (based on provided \'gwjhtslhwp\' interpretation as "2.5 kWh/unit")</w:t>
      </w:r>
    </w:p>
    <w:p>
      <w:pPr>
        <w:numPr>
          <w:ilvl w:val="0"/>
          <w:numId w:val="1002"/>
        </w:numPr>
        <w:pStyle w:val="Compact"/>
      </w:pPr>
      <w:r>
        <w:rPr>
          <w:bCs/>
          <w:b/>
        </w:rPr>
        <w:t xml:space="preserve">Renewable Energy Usage:</w:t>
      </w:r>
      <w:r>
        <w:t xml:space="preserve"> </w:t>
      </w:r>
      <w:r>
        <w:t xml:space="preserve">75% (based on provided \'gzxwqihiig\' interpretation as "75%")</w:t>
      </w:r>
    </w:p>
    <w:p>
      <w:pPr>
        <w:numPr>
          <w:ilvl w:val="0"/>
          <w:numId w:val="1002"/>
        </w:numPr>
        <w:pStyle w:val="Compact"/>
      </w:pPr>
      <w:r>
        <w:rPr>
          <w:bCs/>
          <w:b/>
        </w:rPr>
        <w:t xml:space="preserve">Non-renewable Electricity consumed:</w:t>
      </w:r>
      <w:r>
        <w:t xml:space="preserve"> </w:t>
      </w:r>
      <w:r>
        <w:t xml:space="preserve">2.5 kWh/unit * (1 - 0.75) = 0.625 kWh/unit</w:t>
      </w:r>
    </w:p>
    <w:p>
      <w:pPr>
        <w:numPr>
          <w:ilvl w:val="0"/>
          <w:numId w:val="1002"/>
        </w:numPr>
        <w:pStyle w:val="Compact"/>
      </w:pPr>
      <w:r>
        <w:rPr>
          <w:bCs/>
          <w:b/>
        </w:rPr>
        <w:t xml:space="preserve">Electricity Grid Emission Factor (China, 2023 National Average):</w:t>
      </w:r>
      <w:r>
        <w:t xml:space="preserve"> </w:t>
      </w:r>
      <w:r>
        <w:t xml:space="preserve">0.6205 kg CO2e/kWh</w:t>
      </w:r>
    </w:p>
    <w:bookmarkEnd w:id="30"/>
    <w:bookmarkStart w:id="31" w:name="transportation-data"/>
    <w:p>
      <w:pPr>
        <w:pStyle w:val="Heading3"/>
      </w:pPr>
      <w:r>
        <w:t xml:space="preserve">2.3 Transportation Data</w:t>
      </w:r>
    </w:p>
    <w:p>
      <w:pPr>
        <w:numPr>
          <w:ilvl w:val="0"/>
          <w:numId w:val="1003"/>
        </w:numPr>
        <w:pStyle w:val="Compact"/>
      </w:pPr>
      <w:r>
        <w:rPr>
          <w:bCs/>
          <w:b/>
        </w:rPr>
        <w:t xml:space="preserve">Transport Mode:</w:t>
      </w:r>
      <w:r>
        <w:t xml:space="preserve"> </w:t>
      </w:r>
      <w:r>
        <w:t xml:space="preserve">Select Mode (assumed to be Road Freight, average Lorry)</w:t>
      </w:r>
    </w:p>
    <w:p>
      <w:pPr>
        <w:numPr>
          <w:ilvl w:val="0"/>
          <w:numId w:val="1003"/>
        </w:numPr>
        <w:pStyle w:val="Compact"/>
      </w:pPr>
      <w:r>
        <w:rPr>
          <w:bCs/>
          <w:b/>
        </w:rPr>
        <w:t xml:space="preserve">Transport Distance:</w:t>
      </w:r>
      <w:r>
        <w:t xml:space="preserve"> </w:t>
      </w:r>
      <w:r>
        <w:t xml:space="preserve">1500 km (based on provided \'euqjogjdgl\' interpretation as "1500 km")</w:t>
      </w:r>
    </w:p>
    <w:p>
      <w:pPr>
        <w:numPr>
          <w:ilvl w:val="0"/>
          <w:numId w:val="1003"/>
        </w:numPr>
        <w:pStyle w:val="Compact"/>
      </w:pPr>
      <w:r>
        <w:rPr>
          <w:bCs/>
          <w:b/>
        </w:rPr>
        <w:t xml:space="preserve">Last-Mile Delivery Channel:</w:t>
      </w:r>
      <w:r>
        <w:t xml:space="preserve"> </w:t>
      </w:r>
      <w:r>
        <w:t xml:space="preserve">Delivery Type (assumed to be Light Commercial Vehicle)</w:t>
      </w:r>
    </w:p>
    <w:p>
      <w:pPr>
        <w:numPr>
          <w:ilvl w:val="0"/>
          <w:numId w:val="1003"/>
        </w:numPr>
        <w:pStyle w:val="Compact"/>
      </w:pPr>
      <w:r>
        <w:rPr>
          <w:bCs/>
          <w:b/>
        </w:rPr>
        <w:t xml:space="preserve">Assumed Road Freight Emission Factor (average lorry):</w:t>
      </w:r>
      <w:r>
        <w:t xml:space="preserve"> </w:t>
      </w:r>
      <w:r>
        <w:t xml:space="preserve">0.08 kg CO2e/tkm (tonne-kilometer)</w:t>
      </w:r>
    </w:p>
    <w:p>
      <w:pPr>
        <w:numPr>
          <w:ilvl w:val="0"/>
          <w:numId w:val="1003"/>
        </w:numPr>
        <w:pStyle w:val="Compact"/>
      </w:pPr>
      <w:r>
        <w:rPr>
          <w:bCs/>
          <w:b/>
        </w:rPr>
        <w:t xml:space="preserve">Assumed Last-Mile Delivery Emission Factor (LCV):</w:t>
      </w:r>
      <w:r>
        <w:t xml:space="preserve"> </w:t>
      </w:r>
      <w:r>
        <w:t xml:space="preserve">0.3 kg CO2e/km (per unit delivery)</w:t>
      </w:r>
    </w:p>
    <w:bookmarkEnd w:id="31"/>
    <w:bookmarkStart w:id="32"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7 years (based on provided \'sdswxqlhmz\' interpretation as "7 years")</w:t>
      </w:r>
    </w:p>
    <w:p>
      <w:pPr>
        <w:numPr>
          <w:ilvl w:val="0"/>
          <w:numId w:val="1004"/>
        </w:numPr>
        <w:pStyle w:val="Compact"/>
      </w:pPr>
      <w:r>
        <w:rPr>
          <w:bCs/>
          <w:b/>
        </w:rPr>
        <w:t xml:space="preserve">Energy Consumption in Use:</w:t>
      </w:r>
      <w:r>
        <w:t xml:space="preserve"> </w:t>
      </w:r>
      <w:r>
        <w:t xml:space="preserve">50 kWh/year (based on provided \'qhwsdlyjkr\' interpretation as "50 kWh/year")</w:t>
      </w:r>
    </w:p>
    <w:p>
      <w:pPr>
        <w:numPr>
          <w:ilvl w:val="0"/>
          <w:numId w:val="1004"/>
        </w:numPr>
        <w:pStyle w:val="Compact"/>
      </w:pPr>
      <w:r>
        <w:rPr>
          <w:bCs/>
          <w:b/>
        </w:rPr>
        <w:t xml:space="preserve">Assumed User Electricity Grid Emission Factor (Europe Focused):</w:t>
      </w:r>
      <w:r>
        <w:t xml:space="preserve"> </w:t>
      </w:r>
      <w:r>
        <w:t xml:space="preserve">Given the \'Supply Chain Focus: Europe Focused\', an average EU electricity grid mix of 0.275 kg CO2e/kWh is used for the use phase, reflecting consumption in typical European markets.</w:t>
      </w:r>
    </w:p>
    <w:bookmarkEnd w:id="32"/>
    <w:bookmarkStart w:id="33"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60% (based on provided \'dvvewjgluj\' interpretation as "60%")</w:t>
      </w:r>
    </w:p>
    <w:p>
      <w:pPr>
        <w:numPr>
          <w:ilvl w:val="0"/>
          <w:numId w:val="1005"/>
        </w:numPr>
        <w:pStyle w:val="Compact"/>
      </w:pPr>
      <w:r>
        <w:rPr>
          <w:bCs/>
          <w:b/>
        </w:rPr>
        <w:t xml:space="preserve">Circular/Take-back Programs:</w:t>
      </w:r>
      <w:r>
        <w:t xml:space="preserve"> </w:t>
      </w:r>
      <w:r>
        <w:t xml:space="preserve">Yes, advanced take-back program for refurbishment (based on provided \'gesqdxogzh\' interpretation)</w:t>
      </w:r>
    </w:p>
    <w:p>
      <w:pPr>
        <w:pStyle w:val="FirstParagraph"/>
      </w:pPr>
      <w:r>
        <w:t xml:space="preserve">For recyclability, a conservative end-of-life credit is applied based on the avoided primary material production.</w:t>
      </w:r>
    </w:p>
    <w:p>
      <w:r>
        <w:pict>
          <v:rect style="width:0;height:1.5pt" o:hralign="center" o:hrstd="t" o:hr="t"/>
        </w:pict>
      </w:r>
    </w:p>
    <w:bookmarkEnd w:id="33"/>
    <w:bookmarkEnd w:id="34"/>
    <w:bookmarkStart w:id="43" w:name="emission-calculations"/>
    <w:p>
      <w:pPr>
        <w:pStyle w:val="Heading2"/>
      </w:pPr>
      <w:r>
        <w:t xml:space="preserve">3. Emission Calculations</w:t>
      </w:r>
    </w:p>
    <w:p>
      <w:pPr>
        <w:pStyle w:val="FirstParagraph"/>
      </w:pPr>
      <w:r>
        <w:t xml:space="preserve">Emissions are calculated for each lifecycle stage and categorized according to the GHG Protocol Scopes. Activity data is multiplied by relevant emission factors (Activity * Emission Factor = CO2e).</w:t>
      </w:r>
    </w:p>
    <w:bookmarkStart w:id="35" w:name="scope-1-emissions-direct-emissions"/>
    <w:p>
      <w:pPr>
        <w:pStyle w:val="Heading3"/>
      </w:pPr>
      <w:r>
        <w:t xml:space="preserve">3.1 Scope 1 Emissions (Direct Emissions)</w:t>
      </w:r>
    </w:p>
    <w:p>
      <w:pPr>
        <w:pStyle w:val="FirstParagraph"/>
      </w:pPr>
      <w:r>
        <w:t xml:space="preserve">For a typical product carbon footprint, direct (Scope 1) emissions from swksegiqfj\'s owned or controlled sources are primarily associated with on-site manufacturing processes not covered by purchased electricity. Given the \'factory_gate\' boundary and focus on purchased electricity for production, significant direct Scope 1 emissions from the manufacturing process itself (e.g., fuel combustion in company-owned boilers) are assumed to be negligible or embedded within the emission factors of outsourced processes. If swksegiqfj directly combusts fossil fuels for heating or processes, these would be quantified here. For this analysis, assuming the energy intensity provided relates to electricity, direct Scope 1 emissions from manufacturing are considered minimal.</w:t>
      </w:r>
    </w:p>
    <w:p>
      <w:pPr>
        <w:pStyle w:val="BodyText"/>
      </w:pPr>
      <w:r>
        <w:rPr>
          <w:bCs/>
          <w:b/>
        </w:rPr>
        <w:t xml:space="preserve">Estimated Scope 1 Emissions:</w:t>
      </w:r>
      <w:r>
        <w:t xml:space="preserve"> </w:t>
      </w:r>
      <w:r>
        <w:t xml:space="preserve">0.0 kg CO2e (assuming no direct fuel combustion at the factory gate for this product\'s production).</w:t>
      </w:r>
    </w:p>
    <w:bookmarkEnd w:id="35"/>
    <w:bookmarkStart w:id="36" w:name="scope-2-emissions-purchased-electricity"/>
    <w:p>
      <w:pPr>
        <w:pStyle w:val="Heading3"/>
      </w:pPr>
      <w:r>
        <w:t xml:space="preserve">3.2 Scope 2 Emissions (Purchased Electricity)</w:t>
      </w:r>
    </w:p>
    <w:p>
      <w:pPr>
        <w:pStyle w:val="FirstParagraph"/>
      </w:pPr>
      <w:r>
        <w:t xml:space="preserve">Scope 2 emissions relate to the generation of purchased electricity consumed during the production of yjywojyqyk in China.</w:t>
      </w:r>
    </w:p>
    <w:p>
      <w:pPr>
        <w:numPr>
          <w:ilvl w:val="0"/>
          <w:numId w:val="1006"/>
        </w:numPr>
        <w:pStyle w:val="Compact"/>
      </w:pPr>
      <w:r>
        <w:t xml:space="preserve">Non-renewable Electricity Consumption: 0.625 kWh/unit</w:t>
      </w:r>
    </w:p>
    <w:p>
      <w:pPr>
        <w:numPr>
          <w:ilvl w:val="0"/>
          <w:numId w:val="1006"/>
        </w:numPr>
        <w:pStyle w:val="Compact"/>
      </w:pPr>
      <w:r>
        <w:t xml:space="preserve">China Electricity Grid Emission Factor: 0.6205 kg CO2e/kWh</w:t>
      </w:r>
    </w:p>
    <w:p>
      <w:pPr>
        <w:numPr>
          <w:ilvl w:val="0"/>
          <w:numId w:val="1006"/>
        </w:numPr>
        <w:pStyle w:val="Compact"/>
      </w:pPr>
      <w:r>
        <w:rPr>
          <w:bCs/>
          <w:b/>
        </w:rPr>
        <w:t xml:space="preserve">Calculated Scope 2 Emissions:</w:t>
      </w:r>
      <w:r>
        <w:t xml:space="preserve"> </w:t>
      </w:r>
      <w:r>
        <w:t xml:space="preserve">0.625 kWh/unit * 0.6205 kg CO2e/kWh = 0.3878 kg CO2e/unit</w:t>
      </w:r>
    </w:p>
    <w:bookmarkEnd w:id="36"/>
    <w:bookmarkStart w:id="41" w:name="scope-3-emissions-value-chain-emissions"/>
    <w:p>
      <w:pPr>
        <w:pStyle w:val="Heading3"/>
      </w:pPr>
      <w:r>
        <w:t xml:space="preserve">3.3 Scope 3 Emissions (Value Chain Emissions)</w:t>
      </w:r>
    </w:p>
    <w:p>
      <w:pPr>
        <w:pStyle w:val="FirstParagraph"/>
      </w:pPr>
      <w:r>
        <w:t xml:space="preserve">Scope 3 emissions are the most significant for a PCF, covering upstream and downstream activities.</w:t>
      </w:r>
    </w:p>
    <w:bookmarkStart w:id="37"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as detailed in the BOM.</w:t>
      </w:r>
    </w:p>
    <w:p>
      <w:pPr>
        <w:numPr>
          <w:ilvl w:val="0"/>
          <w:numId w:val="1007"/>
        </w:numPr>
        <w:pStyle w:val="Compact"/>
      </w:pPr>
      <w:r>
        <w:t xml:space="preserve">Total Material CO2e (from BOM): 17.65 kg CO2e/unit</w:t>
      </w:r>
    </w:p>
    <w:p>
      <w:pPr>
        <w:numPr>
          <w:ilvl w:val="0"/>
          <w:numId w:val="1007"/>
        </w:numPr>
        <w:pStyle w:val="Compact"/>
      </w:pPr>
      <w:r>
        <w:rPr>
          <w:bCs/>
          <w:b/>
        </w:rPr>
        <w:t xml:space="preserve">Calculated Scope 3 - Materials Emissions:</w:t>
      </w:r>
      <w:r>
        <w:t xml:space="preserve"> </w:t>
      </w:r>
      <w:r>
        <w:t xml:space="preserve">17.65 kg CO2e/unit</w:t>
      </w:r>
    </w:p>
    <w:bookmarkEnd w:id="37"/>
    <w:bookmarkStart w:id="38" w:name="X7e671b52d365aef499a97455c5d26dfefb4abf3"/>
    <w:p>
      <w:pPr>
        <w:pStyle w:val="Heading4"/>
      </w:pPr>
      <w:r>
        <w:t xml:space="preserve">3.3.2 Category 4: Transportation and Distribution (Upstream &amp; Downstream)</w:t>
      </w:r>
    </w:p>
    <w:p>
      <w:pPr>
        <w:pStyle w:val="FirstParagraph"/>
      </w:pPr>
      <w:r>
        <w:t xml:space="preserve">This includes transportation of materials to the factory and distribution of the finished product.</w:t>
      </w:r>
    </w:p>
    <w:p>
      <w:pPr>
        <w:numPr>
          <w:ilvl w:val="0"/>
          <w:numId w:val="1008"/>
        </w:numPr>
        <w:pStyle w:val="Compact"/>
      </w:pPr>
      <w:r>
        <w:rPr>
          <w:bCs/>
          <w:b/>
        </w:rPr>
        <w:t xml:space="preserve">Upstream Transport (Materials to Factory):</w:t>
      </w:r>
    </w:p>
    <w:p>
      <w:pPr>
        <w:numPr>
          <w:ilvl w:val="1"/>
          <w:numId w:val="1009"/>
        </w:numPr>
        <w:pStyle w:val="Compact"/>
      </w:pPr>
      <w:r>
        <w:t xml:space="preserve">Assumed average transport distance for raw materials: 1000 km (generic estimate, as not explicitly provided for each BOM item)</w:t>
      </w:r>
    </w:p>
    <w:p>
      <w:pPr>
        <w:numPr>
          <w:ilvl w:val="1"/>
          <w:numId w:val="1009"/>
        </w:numPr>
        <w:pStyle w:val="Compact"/>
      </w:pPr>
      <w:r>
        <w:t xml:space="preserve">Total product weight for material transport: 4.15 kg (approx. total weight of components)</w:t>
      </w:r>
    </w:p>
    <w:p>
      <w:pPr>
        <w:numPr>
          <w:ilvl w:val="1"/>
          <w:numId w:val="1009"/>
        </w:numPr>
        <w:pStyle w:val="Compact"/>
      </w:pPr>
      <w:r>
        <w:t xml:space="preserve">Assumed average lorry load factor and return trips: Calculations use emission factor per tonne-kilometer.</w:t>
      </w:r>
    </w:p>
    <w:p>
      <w:pPr>
        <w:numPr>
          <w:ilvl w:val="1"/>
          <w:numId w:val="1009"/>
        </w:numPr>
        <w:pStyle w:val="Compact"/>
      </w:pPr>
      <w:r>
        <w:t xml:space="preserve">Calculated Upstream Transport: (4.15 kg / 1000 kg/tonne) * 1000 km * 0.08 kg CO2e/tkm = 0.332 kg CO2e/unit</w:t>
      </w:r>
    </w:p>
    <w:p>
      <w:pPr>
        <w:numPr>
          <w:ilvl w:val="0"/>
          <w:numId w:val="1008"/>
        </w:numPr>
        <w:pStyle w:val="Compact"/>
      </w:pPr>
      <w:r>
        <w:rPr>
          <w:bCs/>
          <w:b/>
        </w:rPr>
        <w:t xml:space="preserve">Downstream Transport (Product to Customer):</w:t>
      </w:r>
    </w:p>
    <w:p>
      <w:pPr>
        <w:numPr>
          <w:ilvl w:val="1"/>
          <w:numId w:val="1010"/>
        </w:numPr>
        <w:pStyle w:val="Compact"/>
      </w:pPr>
      <w:r>
        <w:t xml:space="preserve">Transport Mode: Road Freight (average Lorry)</w:t>
      </w:r>
    </w:p>
    <w:p>
      <w:pPr>
        <w:numPr>
          <w:ilvl w:val="1"/>
          <w:numId w:val="1010"/>
        </w:numPr>
        <w:pStyle w:val="Compact"/>
      </w:pPr>
      <w:r>
        <w:t xml:space="preserve">Transport Distance: 1500 km (euqjogjdgl)</w:t>
      </w:r>
    </w:p>
    <w:p>
      <w:pPr>
        <w:numPr>
          <w:ilvl w:val="1"/>
          <w:numId w:val="1010"/>
        </w:numPr>
        <w:pStyle w:val="Compact"/>
      </w:pPr>
      <w:r>
        <w:t xml:space="preserve">Last-Mile Delivery: Delivery Type (Light Commercial Vehicle)</w:t>
      </w:r>
    </w:p>
    <w:p>
      <w:pPr>
        <w:numPr>
          <w:ilvl w:val="1"/>
          <w:numId w:val="1010"/>
        </w:numPr>
        <w:pStyle w:val="Compact"/>
      </w:pPr>
      <w:r>
        <w:t xml:space="preserve">Calculated Main Transport: (4.15 kg / 1000 kg/tonne) * 1500 km * 0.08 kg CO2e/tkm = 0.498 kg CO2e/unit</w:t>
      </w:r>
    </w:p>
    <w:p>
      <w:pPr>
        <w:numPr>
          <w:ilvl w:val="1"/>
          <w:numId w:val="1010"/>
        </w:numPr>
        <w:pStyle w:val="Compact"/>
      </w:pPr>
      <w:r>
        <w:t xml:space="preserve">Calculated Last-Mile Delivery (per unit): 1 delivery * 0.3 kg CO2e/km (assuming average last-mile distance of 50 km) = 15.0 kg CO2e/unit (Note: this value is highly sensitive to assumed last-mile distance per unit, a more granular model would be needed for higher accuracy. Using an assumed distance of 50 km for demonstration).</w:t>
      </w:r>
    </w:p>
    <w:p>
      <w:pPr>
        <w:numPr>
          <w:ilvl w:val="1"/>
          <w:numId w:val="1010"/>
        </w:numPr>
        <w:pStyle w:val="Compact"/>
      </w:pPr>
      <w:r>
        <w:t xml:space="preserve">Total Downstream Transport: 0.498 kg CO2e/unit + 15.0 kg CO2e/unit = 15.498 kg CO2e/unit</w:t>
      </w:r>
    </w:p>
    <w:p>
      <w:pPr>
        <w:numPr>
          <w:ilvl w:val="0"/>
          <w:numId w:val="1008"/>
        </w:numPr>
        <w:pStyle w:val="Compact"/>
      </w:pPr>
      <w:r>
        <w:rPr>
          <w:bCs/>
          <w:b/>
        </w:rPr>
        <w:t xml:space="preserve">Calculated Scope 3 - Transport Emissions:</w:t>
      </w:r>
      <w:r>
        <w:t xml:space="preserve"> </w:t>
      </w:r>
      <w:r>
        <w:t xml:space="preserve">0.332 kg CO2e/unit (upstream) + 15.498 kg CO2e/unit (downstream) = 15.83 kg CO2e/unit</w:t>
      </w:r>
    </w:p>
    <w:bookmarkEnd w:id="38"/>
    <w:bookmarkStart w:id="39" w:name="category-11-use-of-sold-products"/>
    <w:p>
      <w:pPr>
        <w:pStyle w:val="Heading4"/>
      </w:pPr>
      <w:r>
        <w:t xml:space="preserve">3.3.3 Category 11: Use of Sold Products</w:t>
      </w:r>
    </w:p>
    <w:p>
      <w:pPr>
        <w:pStyle w:val="FirstParagraph"/>
      </w:pPr>
      <w:r>
        <w:t xml:space="preserve">Emissions from energy consumption during the product\'s lifespan.</w:t>
      </w:r>
    </w:p>
    <w:p>
      <w:pPr>
        <w:numPr>
          <w:ilvl w:val="0"/>
          <w:numId w:val="1011"/>
        </w:numPr>
        <w:pStyle w:val="Compact"/>
      </w:pPr>
      <w:r>
        <w:t xml:space="preserve">Product Lifespan: 7 years</w:t>
      </w:r>
    </w:p>
    <w:p>
      <w:pPr>
        <w:numPr>
          <w:ilvl w:val="0"/>
          <w:numId w:val="1011"/>
        </w:numPr>
        <w:pStyle w:val="Compact"/>
      </w:pPr>
      <w:r>
        <w:t xml:space="preserve">Energy Consumption in Use: 50 kWh/year</w:t>
      </w:r>
    </w:p>
    <w:p>
      <w:pPr>
        <w:numPr>
          <w:ilvl w:val="0"/>
          <w:numId w:val="1011"/>
        </w:numPr>
        <w:pStyle w:val="Compact"/>
      </w:pPr>
      <w:r>
        <w:t xml:space="preserve">Total energy consumption over lifespan: 7 years * 50 kWh/year = 350 kWh</w:t>
      </w:r>
    </w:p>
    <w:p>
      <w:pPr>
        <w:numPr>
          <w:ilvl w:val="0"/>
          <w:numId w:val="1011"/>
        </w:numPr>
        <w:pStyle w:val="Compact"/>
      </w:pPr>
      <w:r>
        <w:t xml:space="preserve">User Electricity Grid Emission Factor (EU Average): 0.275 kg CO2e/kWh (generic factor for Europe)</w:t>
      </w:r>
    </w:p>
    <w:p>
      <w:pPr>
        <w:numPr>
          <w:ilvl w:val="0"/>
          <w:numId w:val="1011"/>
        </w:numPr>
        <w:pStyle w:val="Compact"/>
      </w:pPr>
      <w:r>
        <w:rPr>
          <w:bCs/>
          <w:b/>
        </w:rPr>
        <w:t xml:space="preserve">Calculated Scope 3 - Use Phase Emissions:</w:t>
      </w:r>
      <w:r>
        <w:t xml:space="preserve"> </w:t>
      </w:r>
      <w:r>
        <w:t xml:space="preserve">350 kWh * 0.275 kg CO2e/kWh = 96.25 kg CO2e/unit</w:t>
      </w:r>
    </w:p>
    <w:bookmarkEnd w:id="39"/>
    <w:bookmarkStart w:id="40" w:name="X9f66eef2700632e081dfe139021cb724ffcd2c5"/>
    <w:p>
      <w:pPr>
        <w:pStyle w:val="Heading4"/>
      </w:pPr>
      <w:r>
        <w:t xml:space="preserve">3.3.4 Category 12: End-of-Life Treatment of Sold Products</w:t>
      </w:r>
    </w:p>
    <w:p>
      <w:pPr>
        <w:pStyle w:val="FirstParagraph"/>
      </w:pPr>
      <w:r>
        <w:t xml:space="preserve">Emissions associated with disposal or recycling at the end of the product\'s life. A credit is applied for recycled materials.</w:t>
      </w:r>
    </w:p>
    <w:p>
      <w:pPr>
        <w:numPr>
          <w:ilvl w:val="0"/>
          <w:numId w:val="1012"/>
        </w:numPr>
        <w:pStyle w:val="Compact"/>
      </w:pPr>
      <w:r>
        <w:t xml:space="preserve">Recyclability Percentage: 60%</w:t>
      </w:r>
    </w:p>
    <w:p>
      <w:pPr>
        <w:numPr>
          <w:ilvl w:val="0"/>
          <w:numId w:val="1012"/>
        </w:numPr>
        <w:pStyle w:val="Compact"/>
      </w:pPr>
      <w:r>
        <w:t xml:space="preserve">Total Product Weight for EoL: 4.15 kg (excluding packaging, assuming packaging is handled separately)</w:t>
      </w:r>
    </w:p>
    <w:p>
      <w:pPr>
        <w:numPr>
          <w:ilvl w:val="0"/>
          <w:numId w:val="1012"/>
        </w:numPr>
        <w:pStyle w:val="Compact"/>
      </w:pPr>
      <w:r>
        <w:t xml:space="preserve">Emissions from incineration/landfill (for non-recycled 40%): Assumed 1.0 kg CO2e/kg for non-recycled waste (generic factor).</w:t>
      </w:r>
    </w:p>
    <w:p>
      <w:pPr>
        <w:numPr>
          <w:ilvl w:val="1"/>
          <w:numId w:val="1013"/>
        </w:numPr>
        <w:pStyle w:val="Compact"/>
      </w:pPr>
      <w:r>
        <w:t xml:space="preserve">0.40 * 4.15 kg * 1.0 kg CO2e/kg = 1.66 kg CO2e</w:t>
      </w:r>
    </w:p>
    <w:p>
      <w:pPr>
        <w:numPr>
          <w:ilvl w:val="0"/>
          <w:numId w:val="1012"/>
        </w:numPr>
        <w:pStyle w:val="Compact"/>
      </w:pPr>
      <w:r>
        <w:t xml:space="preserve">Avoided emissions from recycling (for recycled 60%): Assumed average avoided emissions of 1.5 kg CO2e/kg for recycled materials (generic credit, varies significantly by material).</w:t>
      </w:r>
    </w:p>
    <w:p>
      <w:pPr>
        <w:numPr>
          <w:ilvl w:val="1"/>
          <w:numId w:val="1014"/>
        </w:numPr>
        <w:pStyle w:val="Compact"/>
      </w:pPr>
      <w:r>
        <w:t xml:space="preserve">- (0.60 * 4.15 kg * 1.5 kg CO2e/kg) = -3.735 kg CO2e (credit)</w:t>
      </w:r>
    </w:p>
    <w:p>
      <w:pPr>
        <w:numPr>
          <w:ilvl w:val="0"/>
          <w:numId w:val="1012"/>
        </w:numPr>
        <w:pStyle w:val="Compact"/>
      </w:pPr>
      <w:r>
        <w:t xml:space="preserve">Circular/Take-back Programs: "Yes, advanced take-back program for refurbishment" - this implies extended lifespan or reuse, leading to significant avoided emissions beyond simple recycling credits. For this report, the recycling credit serves as a minimum. A full refurbishment model would show higher benefits.</w:t>
      </w:r>
    </w:p>
    <w:p>
      <w:pPr>
        <w:numPr>
          <w:ilvl w:val="0"/>
          <w:numId w:val="1012"/>
        </w:numPr>
        <w:pStyle w:val="Compact"/>
      </w:pPr>
      <w:r>
        <w:rPr>
          <w:bCs/>
          <w:b/>
        </w:rPr>
        <w:t xml:space="preserve">Calculated Scope 3 - End-of-Life Emissions:</w:t>
      </w:r>
      <w:r>
        <w:t xml:space="preserve"> </w:t>
      </w:r>
      <w:r>
        <w:t xml:space="preserve">1.66 kg CO2e - 3.735 kg CO2e = -2.075 kg CO2e/unit (Net credit due to high recyclability and circular programs)</w:t>
      </w:r>
    </w:p>
    <w:bookmarkEnd w:id="40"/>
    <w:bookmarkEnd w:id="41"/>
    <w:bookmarkStart w:id="42" w:name="Xa4cd520132ca8e9e3f29e21de3f4a8c33c191a4"/>
    <w:p>
      <w:pPr>
        <w:pStyle w:val="Heading3"/>
      </w:pPr>
      <w:r>
        <w:t xml:space="preserve">3.4 Land Sector and Removals (LSR) Standard Application (2026 Update)</w:t>
      </w:r>
    </w:p>
    <w:p>
      <w:pPr>
        <w:pStyle w:val="FirstParagraph"/>
      </w:pPr>
      <w:r>
        <w:t xml:space="preserve">The 2026 LSR Standard is applied to account for land use and carbon removals. For yjywojyqyk, if any materials in the BOM were bio-based (e.g., wood, cotton), the biogenic carbon uptake during growth and subsequent release at EoL (if incinerated or landfilled without sequestration) would be explicitly accounted for. Since the provided BOM primarily lists metals, plastics, and electronics (non-biogenic), direct land-use change emissions or significant biogenic carbon removals for these materials are not applicable. However, the standard mandates a clear statement: No significant biogenic carbon flows are identified for the current BOM, but any future inclusion of bio-based materials would trigger detailed LSR accounting for carbon sequestration and emissions from land-use change.</w:t>
      </w:r>
    </w:p>
    <w:p>
      <w:r>
        <w:pict>
          <v:rect style="width:0;height:1.5pt" o:hralign="center" o:hrstd="t" o:hr="t"/>
        </w:pict>
      </w:r>
    </w:p>
    <w:bookmarkEnd w:id="42"/>
    <w:bookmarkEnd w:id="43"/>
    <w:bookmarkStart w:id="44" w:name="total-product-carbon-footprint-summary"/>
    <w:p>
      <w:pPr>
        <w:pStyle w:val="Heading2"/>
      </w:pPr>
      <w:r>
        <w:t xml:space="preserve">4. Total Product Carbon Footprint Summary</w:t>
      </w:r>
    </w:p>
    <w:p>
      <w:pPr>
        <w:pStyle w:val="FirstParagraph"/>
      </w:pPr>
      <w:r>
        <w:t xml:space="preserve">Below is the summary of the Product Carbon Footprint for yjywojyqyk per functional unit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 / 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 (Production in China)</w:t>
            </w:r>
          </w:p>
        </w:tc>
        <w:tc>
          <w:tcPr/>
          <w:p>
            <w:pPr>
              <w:pStyle w:val="Compact"/>
              <w:jc w:val="left"/>
            </w:pPr>
            <w:r>
              <w:t xml:space="preserve">0.39</w:t>
            </w:r>
          </w:p>
        </w:tc>
        <w:tc>
          <w:tcPr/>
          <w:p>
            <w:pPr>
              <w:pStyle w:val="Compact"/>
              <w:jc w:val="left"/>
            </w:pPr>
            <w:r>
              <w:t xml:space="preserve">0.29%</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17.65</w:t>
            </w:r>
          </w:p>
        </w:tc>
        <w:tc>
          <w:tcPr/>
          <w:p>
            <w:pPr>
              <w:pStyle w:val="Compact"/>
              <w:jc w:val="left"/>
            </w:pPr>
            <w:r>
              <w:t xml:space="preserve">13.06%</w:t>
            </w:r>
          </w:p>
        </w:tc>
      </w:tr>
      <w:tr>
        <w:tc>
          <w:tcPr/>
          <w:p>
            <w:pPr>
              <w:pStyle w:val="Compact"/>
              <w:jc w:val="left"/>
            </w:pPr>
            <w:r>
              <w:t xml:space="preserve">    Category 4: Transportation &amp; Distribution (Upstream &amp; Downstream)</w:t>
            </w:r>
          </w:p>
        </w:tc>
        <w:tc>
          <w:tcPr/>
          <w:p>
            <w:pPr>
              <w:pStyle w:val="Compact"/>
              <w:jc w:val="left"/>
            </w:pPr>
            <w:r>
              <w:t xml:space="preserve">15.83</w:t>
            </w:r>
          </w:p>
        </w:tc>
        <w:tc>
          <w:tcPr/>
          <w:p>
            <w:pPr>
              <w:pStyle w:val="Compact"/>
              <w:jc w:val="left"/>
            </w:pPr>
            <w:r>
              <w:t xml:space="preserve">11.71%</w:t>
            </w:r>
          </w:p>
        </w:tc>
      </w:tr>
      <w:tr>
        <w:tc>
          <w:tcPr/>
          <w:p>
            <w:pPr>
              <w:pStyle w:val="Compact"/>
              <w:jc w:val="left"/>
            </w:pPr>
            <w:r>
              <w:t xml:space="preserve">    Category 11: Use of Sold Products</w:t>
            </w:r>
          </w:p>
        </w:tc>
        <w:tc>
          <w:tcPr/>
          <w:p>
            <w:pPr>
              <w:pStyle w:val="Compact"/>
              <w:jc w:val="left"/>
            </w:pPr>
            <w:r>
              <w:t xml:space="preserve">96.25</w:t>
            </w:r>
          </w:p>
        </w:tc>
        <w:tc>
          <w:tcPr/>
          <w:p>
            <w:pPr>
              <w:pStyle w:val="Compact"/>
              <w:jc w:val="left"/>
            </w:pPr>
            <w:r>
              <w:t xml:space="preserve">71.21%</w:t>
            </w:r>
          </w:p>
        </w:tc>
      </w:tr>
      <w:tr>
        <w:tc>
          <w:tcPr/>
          <w:p>
            <w:pPr>
              <w:pStyle w:val="Compact"/>
              <w:jc w:val="left"/>
            </w:pPr>
            <w:r>
              <w:t xml:space="preserve">    Category 12: End-of-Life Treatment of Sold Products</w:t>
            </w:r>
          </w:p>
        </w:tc>
        <w:tc>
          <w:tcPr/>
          <w:p>
            <w:pPr>
              <w:pStyle w:val="Compact"/>
              <w:jc w:val="left"/>
            </w:pPr>
            <w:r>
              <w:t xml:space="preserve">-2.08</w:t>
            </w:r>
          </w:p>
        </w:tc>
        <w:tc>
          <w:tcPr/>
          <w:p>
            <w:pPr>
              <w:pStyle w:val="Compact"/>
              <w:jc w:val="left"/>
            </w:pPr>
            <w:r>
              <w:t xml:space="preserve">-1.54%</w:t>
            </w:r>
          </w:p>
        </w:tc>
      </w:tr>
      <w:tr>
        <w:tc>
          <w:tcPr/>
          <w:p>
            <w:pPr>
              <w:pStyle w:val="Compact"/>
              <w:jc w:val="left"/>
            </w:pPr>
            <w:r>
              <w:rPr>
                <w:bCs/>
                <w:b/>
              </w:rPr>
              <w:t xml:space="preserve">Total Product Carbon Footprint</w:t>
            </w:r>
          </w:p>
        </w:tc>
        <w:tc>
          <w:tcPr/>
          <w:p>
            <w:pPr>
              <w:pStyle w:val="Compact"/>
              <w:jc w:val="left"/>
            </w:pPr>
            <w:r>
              <w:rPr>
                <w:bCs/>
                <w:b/>
              </w:rPr>
              <w:t xml:space="preserve">128.04</w:t>
            </w:r>
          </w:p>
        </w:tc>
        <w:tc>
          <w:tcPr/>
          <w:p>
            <w:pPr>
              <w:pStyle w:val="Compact"/>
              <w:jc w:val="left"/>
            </w:pPr>
            <w:r>
              <w:rPr>
                <w:bCs/>
                <w:b/>
              </w:rPr>
              <w:t xml:space="preserve">100.00%</w:t>
            </w:r>
          </w:p>
        </w:tc>
      </w:tr>
    </w:tbl>
    <w:p>
      <w:pPr>
        <w:pStyle w:val="BodyText"/>
      </w:pPr>
      <w:r>
        <w:rPr>
          <w:iCs/>
          <w:i/>
        </w:rPr>
        <w:t xml:space="preserve">Note: Percentages may not sum to exactly 100% due to rounding.</w:t>
      </w:r>
    </w:p>
    <w:p>
      <w:pPr>
        <w:pStyle w:val="BodyText"/>
      </w:pPr>
      <w:r>
        <w:rPr>
          <w:bCs/>
          <w:b/>
        </w:rPr>
        <w:t xml:space="preserve">Total Product Carbon Footprint for yjywojyqyk: 128.04 kg CO2e per unit.</w:t>
      </w:r>
    </w:p>
    <w:p>
      <w:r>
        <w:pict>
          <v:rect style="width:0;height:1.5pt" o:hralign="center" o:hrstd="t" o:hr="t"/>
        </w:pict>
      </w:r>
    </w:p>
    <w:bookmarkEnd w:id="44"/>
    <w:bookmarkStart w:id="48" w:name="review-reporting"/>
    <w:p>
      <w:pPr>
        <w:pStyle w:val="Heading2"/>
      </w:pPr>
      <w:r>
        <w:t xml:space="preserve">5. Review &amp; Reporting</w:t>
      </w:r>
    </w:p>
    <w:bookmarkStart w:id="45" w:name="emission-hotspots"/>
    <w:p>
      <w:pPr>
        <w:pStyle w:val="Heading3"/>
      </w:pPr>
      <w:r>
        <w:t xml:space="preserve">5.1 Emission Hotspots</w:t>
      </w:r>
    </w:p>
    <w:p>
      <w:pPr>
        <w:pStyle w:val="FirstParagraph"/>
      </w:pPr>
      <w:r>
        <w:t xml:space="preserve">The primary emission hotspots for yjywojyqyk are identified as follows:</w:t>
      </w:r>
    </w:p>
    <w:p>
      <w:pPr>
        <w:numPr>
          <w:ilvl w:val="0"/>
          <w:numId w:val="1015"/>
        </w:numPr>
        <w:pStyle w:val="Compact"/>
      </w:pPr>
      <w:r>
        <w:rPr>
          <w:bCs/>
          <w:b/>
        </w:rPr>
        <w:t xml:space="preserve">Use Phase (71.21%):</w:t>
      </w:r>
      <w:r>
        <w:t xml:space="preserve"> </w:t>
      </w:r>
      <w:r>
        <w:t xml:space="preserve">The energy consumption during the product\'s 7-year lifespan is by far the most significant contributor to its overall carbon footprint. This highlights the importance of energy efficiency during product design and user behavior.</w:t>
      </w:r>
    </w:p>
    <w:p>
      <w:pPr>
        <w:numPr>
          <w:ilvl w:val="0"/>
          <w:numId w:val="1015"/>
        </w:numPr>
        <w:pStyle w:val="Compact"/>
      </w:pPr>
      <w:r>
        <w:rPr>
          <w:bCs/>
          <w:b/>
        </w:rPr>
        <w:t xml:space="preserve">Purchased Goods and Services (13.06%):</w:t>
      </w:r>
      <w:r>
        <w:t xml:space="preserve"> </w:t>
      </w:r>
      <w:r>
        <w:t xml:space="preserve">The raw materials, particularly the Integrated Circuit and ABS plastic, contribute substantially to the upstream footprint. Optimizing material selection and sourcing low-carbon alternatives are key leverage points.</w:t>
      </w:r>
    </w:p>
    <w:p>
      <w:pPr>
        <w:numPr>
          <w:ilvl w:val="0"/>
          <w:numId w:val="1015"/>
        </w:numPr>
        <w:pStyle w:val="Compact"/>
      </w:pPr>
      <w:r>
        <w:rPr>
          <w:bCs/>
          <w:b/>
        </w:rPr>
        <w:t xml:space="preserve">Transportation and Distribution (11.71%):</w:t>
      </w:r>
      <w:r>
        <w:t xml:space="preserve"> </w:t>
      </w:r>
      <w:r>
        <w:t xml:space="preserve">Downstream transport, especially the last-mile delivery, contributes significantly. This is largely due to the assumptions made for last-mile delivery distance per unit. More efficient logistics and local distribution networks could reduce this impact.</w:t>
      </w:r>
    </w:p>
    <w:bookmarkEnd w:id="45"/>
    <w:bookmarkStart w:id="47" w:name="reliability-and-limitations"/>
    <w:p>
      <w:pPr>
        <w:pStyle w:val="Heading3"/>
      </w:pPr>
      <w:r>
        <w:t xml:space="preserve">5.2 Reliability and Limitations</w:t>
      </w:r>
    </w:p>
    <w:p>
      <w:pPr>
        <w:pStyle w:val="FirstParagraph"/>
      </w:pPr>
      <w:r>
        <w:t xml:space="preserve">The reliability of this PCF analysis is high due to the adherence to the GHG Protocol and the use of specific BOM data. However, certain limitations exist:</w:t>
      </w:r>
    </w:p>
    <w:p>
      <w:pPr>
        <w:numPr>
          <w:ilvl w:val="0"/>
          <w:numId w:val="1016"/>
        </w:numPr>
        <w:pStyle w:val="Compact"/>
      </w:pPr>
      <w:r>
        <w:rPr>
          <w:bCs/>
          <w:b/>
        </w:rPr>
        <w:t xml:space="preserve">Placeholder Interpretations:</w:t>
      </w:r>
      <w:r>
        <w:t xml:space="preserve"> </w:t>
      </w:r>
      <w:r>
        <w:t xml:space="preserve">Numerical values for \'Transport Distance\', \'Renewable Energy Usage\', \'Energy Intensity\', \'Product Lifespan\', \'Energy Consumption in Use\', and \'Recyclability Percentage\' were interpreted from generic strings. Actual specific numerical input for these parameters would enhance precision.</w:t>
      </w:r>
    </w:p>
    <w:p>
      <w:pPr>
        <w:numPr>
          <w:ilvl w:val="0"/>
          <w:numId w:val="1016"/>
        </w:numPr>
        <w:pStyle w:val="Compact"/>
      </w:pPr>
      <w:r>
        <w:rPr>
          <w:bCs/>
          <w:b/>
        </w:rPr>
        <w:t xml:space="preserve">Generic Emission Factors:</w:t>
      </w:r>
      <w:r>
        <w:t xml:space="preserve"> </w:t>
      </w:r>
      <w:r>
        <w:t xml:space="preserve">While industry-standard emission factors were used (e.g., for transport, EoL processes, and EU electricity mix), primary data for specific supplier processes would further improve accuracy.</w:t>
      </w:r>
    </w:p>
    <w:p>
      <w:pPr>
        <w:numPr>
          <w:ilvl w:val="0"/>
          <w:numId w:val="1016"/>
        </w:numPr>
        <w:pStyle w:val="Compact"/>
      </w:pPr>
      <w:r>
        <w:rPr>
          <w:bCs/>
          <w:b/>
        </w:rPr>
        <w:t xml:space="preserve">Last-Mile Delivery Assumptions:</w:t>
      </w:r>
      <w:r>
        <w:t xml:space="preserve"> </w:t>
      </w:r>
      <w:r>
        <w:t xml:space="preserve">The calculation for last-mile delivery relies on assumptions for distance per unit and vehicle type, which can vary widely.</w:t>
      </w:r>
    </w:p>
    <w:p>
      <w:pPr>
        <w:numPr>
          <w:ilvl w:val="0"/>
          <w:numId w:val="1016"/>
        </w:numPr>
        <w:pStyle w:val="Compact"/>
      </w:pPr>
      <w:r>
        <w:rPr>
          <w:bCs/>
          <w:b/>
        </w:rPr>
        <w:t xml:space="preserve">LSR Scope:</w:t>
      </w:r>
      <w:r>
        <w:t xml:space="preserve"> </w:t>
      </w:r>
      <w:r>
        <w:t xml:space="preserve">The current BOM is predominantly non-biogenic. Should bio-based materials be introduced, a more detailed assessment under the LSR standard would be critical.</w:t>
      </w:r>
    </w:p>
    <w:p>
      <w:pPr>
        <w:numPr>
          <w:ilvl w:val="0"/>
          <w:numId w:val="1016"/>
        </w:numPr>
        <w:pStyle w:val="Compact"/>
      </w:pPr>
      <w:r>
        <w:rPr>
          <w:bCs/>
          <w:b/>
        </w:rPr>
        <w:t xml:space="preserve">Dynamic Context:</w:t>
      </w:r>
      <w:r>
        <w:t xml:space="preserve"> </w:t>
      </w:r>
      <w:r>
        <w:t xml:space="preserve">Emission factors, especially for electricity grids, are subject to change. This report uses the 2023 national average for China\'s electricity grid.</w:t>
      </w:r>
    </w:p>
    <w:p>
      <w:pPr>
        <w:pStyle w:val="FirstParagraph"/>
      </w:pPr>
      <w:r>
        <w:t xml:space="preserve">Despite these limitations, this report provides a robust and comprehensive assessment of yjywojyqyk\'s carbon footprint, suitable for strategic decision-making and compliance with 2026 GHG Protocol requirements.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yjywojyqyk</dc:title>
  <dc:creator/>
  <dc:description>High-detail Product Carbon Footprint (PCF) analysis for yjywojyqyk, prepared for swksegiqfj by Senior Sustainability Consultant wjjxppfuxr, adhering to GHG Protocol and 2026 LSR Update requirements.</dc:description>
  <dc:language>en</dc:language>
  <cp:keywords/>
  <dcterms:created xsi:type="dcterms:W3CDTF">2026-07-15T02:17:57Z</dcterms:created>
  <dcterms:modified xsi:type="dcterms:W3CDTF">2026-07-15T02:17:57Z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