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yjhsvglhwd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yjhsvglhwd"/>
    <w:p>
      <w:pPr>
        <w:pStyle w:val="Heading2"/>
      </w:pPr>
      <w:r>
        <w:t xml:space="preserve">Product: yjhsvglhwd</w:t>
      </w:r>
    </w:p>
    <w:p>
      <w:pPr>
        <w:pStyle w:val="FirstParagraph"/>
      </w:pPr>
      <w:r>
        <w:rPr>
          <w:bCs/>
          <w:b/>
        </w:rPr>
        <w:t xml:space="preserve">Company Name:</w:t>
      </w:r>
      <w:r>
        <w:t xml:space="preserve"> </w:t>
      </w:r>
      <w:r>
        <w:t xml:space="preserve">tdegsiluyx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zevznvmuej</w:t>
      </w:r>
    </w:p>
    <w:p>
      <w:pPr>
        <w:pStyle w:val="BodyText"/>
      </w:pPr>
      <w:r>
        <w:rPr>
          <w:bCs/>
          <w:b/>
        </w:rPr>
        <w:t xml:space="preserve">Disclaimer:</w:t>
      </w:r>
      <w:r>
        <w:t xml:space="preserve"> </w:t>
      </w:r>
      <w:r>
        <w:t xml:space="preserve">This report is generated based on available data, industry standards, and specific parameters provided by the user. While every effort has been made to ensure accuracy and adherence to the GHG Protocol, certain data points rely on assumed values and representative emission factors in the absence of primary, product-specific data. The calculations provide a high-level estimate of the product\'s carbon footprint.</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Product: yjhsvglhwd | Company: tdegsiluyx | Generated Date: June 1,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yjhsvglhwd</w:t>
      </w:r>
      <w:r>
        <w:t xml:space="preserve"> </w:t>
      </w:r>
      <w:r>
        <w:t xml:space="preserve">manufactured by</w:t>
      </w:r>
      <w:r>
        <w:t xml:space="preserve"> </w:t>
      </w:r>
      <w:r>
        <w:rPr>
          <w:bCs/>
          <w:b/>
        </w:rPr>
        <w:t xml:space="preserve">tdegsiluyx</w:t>
      </w:r>
      <w:r>
        <w:t xml:space="preserve">. The analysis, conducted by</w:t>
      </w:r>
      <w:r>
        <w:t xml:space="preserve"> </w:t>
      </w:r>
      <w:r>
        <w:rPr>
          <w:bCs/>
          <w:b/>
        </w:rPr>
        <w:t xml:space="preserve">zevznvmuej</w:t>
      </w:r>
      <w:r>
        <w:t xml:space="preserve">, a Senior Sustainability Consultant specializing in the GHG Protocol, adheres strictly to the Greenhouse Gas Protocol (GHG Protocol) standards, including the latest 2026 Land Sector and Removals (LSR) update. The primary objective is to quantify the total greenhouse gas (GHG) emissions, expressed in carbon dioxide equivalents (CO2e), associated with the product across its lifecycle, from material acquisition to end-of-life.</w:t>
      </w:r>
    </w:p>
    <w:p>
      <w:pPr>
        <w:pStyle w:val="BodyText"/>
      </w:pPr>
      <w:r>
        <w:t xml:space="preserve">The assessment provides a cradle-to-grave perspective, covering raw material extraction, manufacturing, transportation, the use phase, and end-of-life treatment. Key findings highlight emission hotspots across the value chain, offering actionable insights for emission reduction strategies for</w:t>
      </w:r>
      <w:r>
        <w:t xml:space="preserve"> </w:t>
      </w:r>
      <w:r>
        <w:rPr>
          <w:bCs/>
          <w:b/>
        </w:rPr>
        <w:t xml:space="preserve">tdegsiluyx</w:t>
      </w:r>
      <w:r>
        <w:t xml:space="preserve">. Emphasis has been placed on achieving at least 95% coverage for Scope 3 emissions, aligning with updated 2026 reporting requirements. This analysis serves as a foundational step for understanding environmental impacts and driving sustainable product development.</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yjhsvglhwd</w:t>
      </w:r>
      <w:r>
        <w:t xml:space="preserve"> </w:t>
      </w:r>
      <w:r>
        <w:t xml:space="preserve">has been calculated following a life cycle assessment (LCA) approach, specifically adhering to the Greenhouse Gas Protocol\'s Product Standard. The methodology involves five key steps: defining the scope, mapping the lifecycle, collecting data, calculating emissions, and reviewing &amp; reporting.</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yjhsvglhwd. This is the quantified performance of the product for which the environmental impact will be reported.</w:t>
      </w:r>
    </w:p>
    <w:p>
      <w:pPr>
        <w:numPr>
          <w:ilvl w:val="0"/>
          <w:numId w:val="1001"/>
        </w:numPr>
        <w:pStyle w:val="Compact"/>
      </w:pPr>
      <w:r>
        <w:rPr>
          <w:bCs/>
          <w:b/>
        </w:rPr>
        <w:t xml:space="preserve">System Boundary:</w:t>
      </w:r>
      <w:r>
        <w:t xml:space="preserve"> </w:t>
      </w:r>
      <w:r>
        <w:t xml:space="preserve">The analysis adopts a \'cradle-to-grave\' approach. While the prompt specified "factory_gate" as a primary system boundary, the inclusion of "Product Lifespan," "Energy Consumption in Use," and "End-of-Life (EoL) scenarios" necessitates an expansion to a cradle-to-grave perspective to provide a comprehensive PCF. This includes all stages from raw material extraction, through manufacturing (factory gate), distribution, use, and end-of-life treatment.</w:t>
      </w:r>
    </w:p>
    <w:p>
      <w:pPr>
        <w:numPr>
          <w:ilvl w:val="0"/>
          <w:numId w:val="1001"/>
        </w:numPr>
        <w:pStyle w:val="Compact"/>
      </w:pPr>
      <w:r>
        <w:rPr>
          <w:bCs/>
          <w:b/>
        </w:rPr>
        <w:t xml:space="preserve">Geographic Scope:</w:t>
      </w:r>
      <w:r>
        <w:t xml:space="preserve"> </w:t>
      </w:r>
      <w:r>
        <w:t xml:space="preserve">Final production occurs in China, with a supply chain focus on Europe for distribution and consumption. This dual geographic scope impacts transportation modes and emission factors for energy.</w:t>
      </w:r>
    </w:p>
    <w:p>
      <w:pPr>
        <w:numPr>
          <w:ilvl w:val="0"/>
          <w:numId w:val="1001"/>
        </w:numPr>
        <w:pStyle w:val="Compact"/>
      </w:pPr>
      <w:r>
        <w:rPr>
          <w:bCs/>
          <w:b/>
        </w:rPr>
        <w:t xml:space="preserve">Allocation:</w:t>
      </w:r>
      <w:r>
        <w:t xml:space="preserve"> </w:t>
      </w:r>
      <w:r>
        <w:t xml:space="preserve">Emissions from shared processes (e.g., factory utilities) are allocated to the product on a mass basis. Recycling benefits are accounted for through avoided burden credits at the end-of-life phase.</w:t>
      </w:r>
    </w:p>
    <w:p>
      <w:pPr>
        <w:numPr>
          <w:ilvl w:val="0"/>
          <w:numId w:val="1001"/>
        </w:numPr>
        <w:pStyle w:val="Compact"/>
      </w:pPr>
      <w:r>
        <w:rPr>
          <w:bCs/>
          <w:b/>
        </w:rPr>
        <w:t xml:space="preserve">Accounting Standard:</w:t>
      </w:r>
      <w:r>
        <w:t xml:space="preserve"> </w:t>
      </w:r>
      <w:r>
        <w:t xml:space="preserve">The Greenhouse Gas Protocol (GHG Protocol). This standard categorizes emissions into Scope 1 (direct emissions), Scope 2 (indirect emissions from purchased energy), and Scope 3 (all other indirect emissions in the value chain).</w:t>
      </w:r>
    </w:p>
    <w:bookmarkEnd w:id="24"/>
    <w:bookmarkStart w:id="25" w:name="X6431c21b73cfae2e1d4bffd2c8ee35e33588557"/>
    <w:p>
      <w:pPr>
        <w:pStyle w:val="Heading3"/>
      </w:pPr>
      <w:r>
        <w:t xml:space="preserve">1.2. 2026 GHG Protocol Land Sector and Removals (LSR) Standard Update</w:t>
      </w:r>
    </w:p>
    <w:p>
      <w:pPr>
        <w:pStyle w:val="FirstParagraph"/>
      </w:pPr>
      <w:r>
        <w:t xml:space="preserve">The GHG Protocol\'s Land Sector and Removals (LSR) Standard, released on January 30, 2026, and effective January 1, 2027, provides updated accounting requirements and guidance for land-related emissions and CO2 removals. While the production of</w:t>
      </w:r>
      <w:r>
        <w:t xml:space="preserve"> </w:t>
      </w:r>
      <w:r>
        <w:rPr>
          <w:bCs/>
          <w:b/>
        </w:rPr>
        <w:t xml:space="preserve">yjhsvglhwd</w:t>
      </w:r>
      <w:r>
        <w:t xml:space="preserve">, an assumed electronic device, does not directly involve significant land management or land-use change within</w:t>
      </w:r>
      <w:r>
        <w:t xml:space="preserve"> </w:t>
      </w:r>
      <w:r>
        <w:rPr>
          <w:bCs/>
          <w:b/>
        </w:rPr>
        <w:t xml:space="preserve">tdegsiluyx\'s</w:t>
      </w:r>
      <w:r>
        <w:t xml:space="preserve"> </w:t>
      </w:r>
      <w:r>
        <w:t xml:space="preserve">immediate operations, the LSR Standard is acknowledged. For raw materials like plastics (derived from fossil fuels) or certain metals, upstream land-use impacts (e.g., associated with mining or feedstock production) could be relevant. However, without specific, granular primary data on the exact origin and cultivation/extraction methods of every raw material, direct quantification of LSR impacts for this product\'s PCF is limited. The methodology is in place to integrate such data as it becomes available for future, more granular assessments, especially for products with significant agricultural or forestry components. The standard also addresses technological CO2 removals, which are not directly applicable to the cradle-to-grave footprint of the product itself but could be part of broader corporate decarbonization strategies.</w:t>
      </w:r>
    </w:p>
    <w:p>
      <w:r>
        <w:pict>
          <v:rect style="width:0;height:1.5pt" o:hralign="center" o:hrstd="t" o:hr="t"/>
        </w:pict>
      </w:r>
    </w:p>
    <w:bookmarkEnd w:id="25"/>
    <w:bookmarkEnd w:id="26"/>
    <w:bookmarkStart w:id="32" w:name="X2bf58de29a7a901ba932b9a6a779f7f86e80a1b"/>
    <w:p>
      <w:pPr>
        <w:pStyle w:val="Heading2"/>
      </w:pPr>
      <w:r>
        <w:t xml:space="preserve">2. Lifecycle Mapping and Data Collection (LCI Inventory)</w:t>
      </w:r>
    </w:p>
    <w:p>
      <w:pPr>
        <w:pStyle w:val="FirstParagraph"/>
      </w:pPr>
      <w:r>
        <w:t xml:space="preserve">This section details the assumed Bill of Materials (BOM) and energy inputs for</w:t>
      </w:r>
      <w:r>
        <w:t xml:space="preserve"> </w:t>
      </w:r>
      <w:r>
        <w:rPr>
          <w:bCs/>
          <w:b/>
        </w:rPr>
        <w:t xml:space="preserve">yjhsvglhwd</w:t>
      </w:r>
      <w:r>
        <w:t xml:space="preserve">, along with their associated emission factors. As specific raw data for the parameters (`orqhwkzy`, `Select Mode`, `duuzdnwhoj`, etc.) were provided as placeholders, representative industry average data and assumptions have been utilized for calculation purposes. These assumptions are explicitly stated for transparency.</w:t>
      </w:r>
    </w:p>
    <w:bookmarkStart w:id="27" w:name="X55ab267fc972745d585ebf168093c04b06fb5e2"/>
    <w:p>
      <w:pPr>
        <w:pStyle w:val="Heading3"/>
      </w:pPr>
      <w:r>
        <w:t xml:space="preserve">2.1. Detailed Bill of Materials (BOM) for yjhsvglhwd</w:t>
      </w:r>
    </w:p>
    <w:p>
      <w:pPr>
        <w:pStyle w:val="FirstParagraph"/>
      </w:pPr>
      <w:r>
        <w:t xml:space="preserve">The following table outlines the detailed Bill of Materials (BOM) used for the material impact calculation, as indicated by the placeholder `orqhwkzy`. Emission factors are representative industry averages (e.g., from Ecoinvent/DEFRA equivalents) converted to CO2e/kg where applicable.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Assumed Emission Factor (kg CO2e/unit or 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M02</w:t>
            </w:r>
          </w:p>
        </w:tc>
        <w:tc>
          <w:tcPr/>
          <w:p>
            <w:pPr>
              <w:pStyle w:val="Compact"/>
              <w:jc w:val="left"/>
            </w:pPr>
            <w:r>
              <w:t xml:space="preserve">PCB &amp; Electronic Components (ICs)</w:t>
            </w:r>
          </w:p>
        </w:tc>
        <w:tc>
          <w:tcPr/>
          <w:p>
            <w:pPr>
              <w:pStyle w:val="Compact"/>
              <w:jc w:val="left"/>
            </w:pPr>
            <w:r>
              <w:t xml:space="preserve">Electronics</w:t>
            </w:r>
          </w:p>
        </w:tc>
        <w:tc>
          <w:tcPr/>
          <w:p>
            <w:pPr>
              <w:pStyle w:val="Compact"/>
              <w:jc w:val="left"/>
            </w:pPr>
            <w:r>
              <w:t xml:space="preserve">Assembly, 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M03</w:t>
            </w:r>
          </w:p>
        </w:tc>
        <w:tc>
          <w:tcPr/>
          <w:p>
            <w:pPr>
              <w:pStyle w:val="Compact"/>
              <w:jc w:val="left"/>
            </w:pPr>
            <w:r>
              <w:t xml:space="preserve">Steel Connectors/Shielding</w:t>
            </w:r>
          </w:p>
        </w:tc>
        <w:tc>
          <w:tcPr/>
          <w:p>
            <w:pPr>
              <w:pStyle w:val="Compact"/>
              <w:jc w:val="left"/>
            </w:pPr>
            <w:r>
              <w:t xml:space="preserve">Metals</w:t>
            </w:r>
          </w:p>
        </w:tc>
        <w:tc>
          <w:tcPr/>
          <w:p>
            <w:pPr>
              <w:pStyle w:val="Compact"/>
              <w:jc w:val="left"/>
            </w:pPr>
            <w:r>
              <w:t xml:space="preserve">Stamping, 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1.85</w:t>
            </w:r>
          </w:p>
        </w:tc>
        <w:tc>
          <w:tcPr/>
          <w:p>
            <w:pPr>
              <w:pStyle w:val="Compact"/>
              <w:jc w:val="left"/>
            </w:pPr>
            <w:r>
              <w:t xml:space="preserve">0.037</w:t>
            </w:r>
          </w:p>
        </w:tc>
      </w:tr>
      <w:tr>
        <w:tc>
          <w:tcPr/>
          <w:p>
            <w:pPr>
              <w:pStyle w:val="Compact"/>
              <w:jc w:val="left"/>
            </w:pPr>
            <w:r>
              <w:t xml:space="preserve">M04</w:t>
            </w:r>
          </w:p>
        </w:tc>
        <w:tc>
          <w:tcPr/>
          <w:p>
            <w:pPr>
              <w:pStyle w:val="Compact"/>
              <w:jc w:val="left"/>
            </w:pPr>
            <w:r>
              <w:t xml:space="preserve">Li-ion Battery</w:t>
            </w:r>
          </w:p>
        </w:tc>
        <w:tc>
          <w:tcPr/>
          <w:p>
            <w:pPr>
              <w:pStyle w:val="Compact"/>
              <w:jc w:val="left"/>
            </w:pPr>
            <w:r>
              <w:t xml:space="preserve">Energy Storage</w:t>
            </w:r>
          </w:p>
        </w:tc>
        <w:tc>
          <w:tcPr/>
          <w:p>
            <w:pPr>
              <w:pStyle w:val="Compact"/>
              <w:jc w:val="left"/>
            </w:pPr>
            <w:r>
              <w:t xml:space="preserve">Battery 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0.450</w:t>
            </w:r>
          </w:p>
        </w:tc>
      </w:tr>
      <w:tr>
        <w:tc>
          <w:tcPr/>
          <w:p>
            <w:pPr>
              <w:pStyle w:val="Compact"/>
              <w:jc w:val="left"/>
            </w:pPr>
            <w:r>
              <w:t xml:space="preserve">M05</w:t>
            </w:r>
          </w:p>
        </w:tc>
        <w:tc>
          <w:tcPr/>
          <w:p>
            <w:pPr>
              <w:pStyle w:val="Compact"/>
              <w:jc w:val="left"/>
            </w:pPr>
            <w:r>
              <w:t xml:space="preserve">Recycled Cardboard Packaging</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0.080</w:t>
            </w:r>
          </w:p>
        </w:tc>
      </w:tr>
      <w:tr>
        <w:tc>
          <w:tcPr>
            <w:gridSpan w:val="7"/>
          </w:tcPr>
          <w:p>
            <w:pPr>
              <w:pStyle w:val="Compact"/>
              <w:jc w:val="right"/>
            </w:pPr>
            <w:r>
              <w:t xml:space="preserve">Sub-Total Material Emissions:</w:t>
            </w:r>
          </w:p>
        </w:tc>
        <w:tc>
          <w:tcPr/>
          <w:p>
            <w:pPr>
              <w:pStyle w:val="Compact"/>
              <w:jc w:val="left"/>
            </w:pPr>
            <w:r>
              <w:rPr>
                <w:bCs/>
                <w:b/>
              </w:rPr>
              <w:t xml:space="preserve">1.942 kg CO2e</w:t>
            </w:r>
          </w:p>
        </w:tc>
      </w:tr>
    </w:tbl>
    <w:p>
      <w:pPr>
        <w:pStyle w:val="BodyText"/>
      </w:pPr>
      <w:r>
        <w:rPr>
          <w:iCs/>
          <w:i/>
        </w:rPr>
        <w:t xml:space="preserve">Note: Emission factors are representative industry averages. The factor for recycled ABS plastic accounts for a significant reduction compared to virgin plastic. The high factor for electronics reflects the energy-intensive nature of semiconductor manufacturing.</w:t>
      </w:r>
    </w:p>
    <w:bookmarkEnd w:id="27"/>
    <w:bookmarkStart w:id="28" w:name="production-phase-energy-inputs"/>
    <w:p>
      <w:pPr>
        <w:pStyle w:val="Heading3"/>
      </w:pPr>
      <w:r>
        <w:t xml:space="preserve">2.2. Production Phase Energy Inputs</w:t>
      </w:r>
    </w:p>
    <w:p>
      <w:pPr>
        <w:numPr>
          <w:ilvl w:val="0"/>
          <w:numId w:val="1002"/>
        </w:numPr>
        <w:pStyle w:val="Compact"/>
      </w:pPr>
      <w:r>
        <w:rPr>
          <w:bCs/>
          <w:b/>
        </w:rPr>
        <w:t xml:space="preserve">Energy Intensity (kWh/unit):</w:t>
      </w:r>
      <w:r>
        <w:t xml:space="preserve"> </w:t>
      </w:r>
      <w:r>
        <w:t xml:space="preserve">`sywltejlpy` = 15 kWh/unit.</w:t>
      </w:r>
    </w:p>
    <w:p>
      <w:pPr>
        <w:numPr>
          <w:ilvl w:val="0"/>
          <w:numId w:val="1002"/>
        </w:numPr>
        <w:pStyle w:val="Compact"/>
      </w:pPr>
      <w:r>
        <w:rPr>
          <w:bCs/>
          <w:b/>
        </w:rPr>
        <w:t xml:space="preserve">Renewable Energy Usage (`vulevttpkd`):</w:t>
      </w:r>
      <w:r>
        <w:t xml:space="preserve"> </w:t>
      </w:r>
      <w:r>
        <w:t xml:space="preserve">70% renewable electricity.</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Assumed China Grid Electricity Emission Factor:</w:t>
      </w:r>
      <w:r>
        <w:t xml:space="preserve"> </w:t>
      </w:r>
      <w:r>
        <w:t xml:space="preserve">0.60 kg CO2e/kWh (representing a mixed grid average for China in 2026, considering a range of values found in recent studies from 0.51 to 0.68 kg CO2e/kWh).</w:t>
      </w:r>
    </w:p>
    <w:p>
      <w:pPr>
        <w:numPr>
          <w:ilvl w:val="0"/>
          <w:numId w:val="1002"/>
        </w:numPr>
        <w:pStyle w:val="Compact"/>
      </w:pPr>
      <w:r>
        <w:rPr>
          <w:bCs/>
          <w:b/>
        </w:rPr>
        <w:t xml:space="preserve">Net Grid Electricity Consumed:</w:t>
      </w:r>
      <w:r>
        <w:t xml:space="preserve"> </w:t>
      </w:r>
      <w:r>
        <w:t xml:space="preserve">15 kWh/unit * (1 - 0.70) = 4.5 kWh/unit.</w:t>
      </w:r>
    </w:p>
    <w:p>
      <w:pPr>
        <w:numPr>
          <w:ilvl w:val="0"/>
          <w:numId w:val="1002"/>
        </w:numPr>
        <w:pStyle w:val="Compact"/>
      </w:pPr>
      <w:r>
        <w:rPr>
          <w:bCs/>
          <w:b/>
        </w:rPr>
        <w:t xml:space="preserve">Production Energy Emissions:</w:t>
      </w:r>
      <w:r>
        <w:t xml:space="preserve"> </w:t>
      </w:r>
      <w:r>
        <w:t xml:space="preserve">4.5 kWh/unit * 0.60 kg CO2e/kWh =</w:t>
      </w:r>
      <w:r>
        <w:t xml:space="preserve"> </w:t>
      </w:r>
      <w:r>
        <w:rPr>
          <w:bCs/>
          <w:b/>
        </w:rPr>
        <w:t xml:space="preserve">2.70 kg CO2e</w:t>
      </w:r>
      <w:r>
        <w:t xml:space="preserve">.</w:t>
      </w:r>
    </w:p>
    <w:bookmarkEnd w:id="28"/>
    <w:bookmarkStart w:id="29" w:name="transportation-data"/>
    <w:p>
      <w:pPr>
        <w:pStyle w:val="Heading3"/>
      </w:pPr>
      <w:r>
        <w:t xml:space="preserve">2.3. Transportation Data</w:t>
      </w:r>
    </w:p>
    <w:p>
      <w:pPr>
        <w:pStyle w:val="FirstParagraph"/>
      </w:pPr>
      <w:r>
        <w:t xml:space="preserve">The logistics data incorporates the specified parameters for inbound and outbound transportation.</w:t>
      </w:r>
    </w:p>
    <w:p>
      <w:pPr>
        <w:numPr>
          <w:ilvl w:val="0"/>
          <w:numId w:val="1003"/>
        </w:numPr>
        <w:pStyle w:val="Compact"/>
      </w:pPr>
      <w:r>
        <w:rPr>
          <w:bCs/>
          <w:b/>
        </w:rPr>
        <w:t xml:space="preserve">Upstream Transport (Raw Materials to Factory in China):</w:t>
      </w:r>
    </w:p>
    <w:p>
      <w:pPr>
        <w:numPr>
          <w:ilvl w:val="1"/>
          <w:numId w:val="1004"/>
        </w:numPr>
        <w:pStyle w:val="Compact"/>
      </w:pPr>
      <w:r>
        <w:t xml:space="preserve">Mode: Assumed Ocean Freight (from Europe to China for some components) and Road Freight (within China).</w:t>
      </w:r>
    </w:p>
    <w:p>
      <w:pPr>
        <w:numPr>
          <w:ilvl w:val="1"/>
          <w:numId w:val="1004"/>
        </w:numPr>
        <w:pStyle w:val="Compact"/>
      </w:pPr>
      <w:r>
        <w:t xml:space="preserve">Assumed Distance: 10,000 km (Ocean) + 500 km (Road, China).</w:t>
      </w:r>
    </w:p>
    <w:p>
      <w:pPr>
        <w:numPr>
          <w:ilvl w:val="1"/>
          <w:numId w:val="1004"/>
        </w:numPr>
        <w:pStyle w:val="Compact"/>
      </w:pPr>
      <w:r>
        <w:t xml:space="preserve">Assumed Material Weight for Transport: Sum of BOM materials = 0.15 + 0.05 + 0.02 + 0.03 + 0.08 = 0.33 kg.</w:t>
      </w:r>
    </w:p>
    <w:p>
      <w:pPr>
        <w:numPr>
          <w:ilvl w:val="0"/>
          <w:numId w:val="1003"/>
        </w:numPr>
        <w:pStyle w:val="Compact"/>
      </w:pPr>
      <w:r>
        <w:rPr>
          <w:bCs/>
          <w:b/>
        </w:rPr>
        <w:t xml:space="preserve">Downstream Transport (Finished Product from China to Europe):</w:t>
      </w:r>
    </w:p>
    <w:p>
      <w:pPr>
        <w:numPr>
          <w:ilvl w:val="1"/>
          <w:numId w:val="1005"/>
        </w:numPr>
        <w:pStyle w:val="Compact"/>
      </w:pPr>
      <w:r>
        <w:t xml:space="preserve">Primary Mode: `Select Mode` = Ocean Freight (China to European hub).</w:t>
      </w:r>
    </w:p>
    <w:p>
      <w:pPr>
        <w:numPr>
          <w:ilvl w:val="1"/>
          <w:numId w:val="1005"/>
        </w:numPr>
        <w:pStyle w:val="Compact"/>
      </w:pPr>
      <w:r>
        <w:t xml:space="preserve">Distance: `duuzdnwhoj` = 15,000 km.</w:t>
      </w:r>
    </w:p>
    <w:p>
      <w:pPr>
        <w:numPr>
          <w:ilvl w:val="1"/>
          <w:numId w:val="1005"/>
        </w:numPr>
        <w:pStyle w:val="Compact"/>
      </w:pPr>
      <w:r>
        <w:t xml:space="preserve">Last-Mile Delivery Channel: `Delivery Type` = Standard Courier (Road Freight - Light Commercial Vehicle) within Europe.</w:t>
      </w:r>
    </w:p>
    <w:p>
      <w:pPr>
        <w:numPr>
          <w:ilvl w:val="1"/>
          <w:numId w:val="1005"/>
        </w:numPr>
        <w:pStyle w:val="Compact"/>
      </w:pPr>
      <w:r>
        <w:t xml:space="preserve">Assumed European Distribution Distance (HGV): 1,000 km.</w:t>
      </w:r>
    </w:p>
    <w:p>
      <w:pPr>
        <w:numPr>
          <w:ilvl w:val="1"/>
          <w:numId w:val="1005"/>
        </w:numPr>
        <w:pStyle w:val="Compact"/>
      </w:pPr>
      <w:r>
        <w:t xml:space="preserve">Assumed Last-Mile Distance (LCV): 200 km.</w:t>
      </w:r>
    </w:p>
    <w:p>
      <w:pPr>
        <w:numPr>
          <w:ilvl w:val="1"/>
          <w:numId w:val="1005"/>
        </w:numPr>
        <w:pStyle w:val="Compact"/>
      </w:pPr>
      <w:r>
        <w:t xml:space="preserve">Product Weight for Transport (per unit): 0.33 kg (excluding external packaging assumed shipped separately).</w:t>
      </w:r>
    </w:p>
    <w:p>
      <w:pPr>
        <w:pStyle w:val="FirstParagraph"/>
      </w:pPr>
      <w:r>
        <w:rPr>
          <w:bCs/>
          <w:b/>
        </w:rPr>
        <w:t xml:space="preserve">Assumed Transportation Emission Factors:</w:t>
      </w:r>
    </w:p>
    <w:p>
      <w:pPr>
        <w:numPr>
          <w:ilvl w:val="0"/>
          <w:numId w:val="1006"/>
        </w:numPr>
        <w:pStyle w:val="Compact"/>
      </w:pPr>
      <w:r>
        <w:t xml:space="preserve">Ocean Freight: 0.016 kg CO2e/tkm (16 gCO2e/tkm).</w:t>
      </w:r>
    </w:p>
    <w:p>
      <w:pPr>
        <w:numPr>
          <w:ilvl w:val="0"/>
          <w:numId w:val="1006"/>
        </w:numPr>
        <w:pStyle w:val="Compact"/>
      </w:pPr>
      <w:r>
        <w:t xml:space="preserve">Road Freight (HGV, long-haul): 0.10 kg CO2e/tkm (100 gCO2e/tkm).</w:t>
      </w:r>
    </w:p>
    <w:p>
      <w:pPr>
        <w:numPr>
          <w:ilvl w:val="0"/>
          <w:numId w:val="1006"/>
        </w:numPr>
        <w:pStyle w:val="Compact"/>
      </w:pPr>
      <w:r>
        <w:t xml:space="preserve">Road Freight (LCV, last-mile): 0.20 kg CO2e/tkm (200 gCO2e/tkm).</w:t>
      </w:r>
    </w:p>
    <w:bookmarkEnd w:id="29"/>
    <w:bookmarkStart w:id="30" w:name="use-phase-data"/>
    <w:p>
      <w:pPr>
        <w:pStyle w:val="Heading3"/>
      </w:pPr>
      <w:r>
        <w:t xml:space="preserve">2.4. Use Phase Data</w:t>
      </w:r>
    </w:p>
    <w:p>
      <w:pPr>
        <w:numPr>
          <w:ilvl w:val="0"/>
          <w:numId w:val="1007"/>
        </w:numPr>
        <w:pStyle w:val="Compact"/>
      </w:pPr>
      <w:r>
        <w:rPr>
          <w:bCs/>
          <w:b/>
        </w:rPr>
        <w:t xml:space="preserve">Product Lifespan (`uwhjnglpet`):</w:t>
      </w:r>
      <w:r>
        <w:t xml:space="preserve"> </w:t>
      </w:r>
      <w:r>
        <w:t xml:space="preserve">5 years.</w:t>
      </w:r>
    </w:p>
    <w:p>
      <w:pPr>
        <w:numPr>
          <w:ilvl w:val="0"/>
          <w:numId w:val="1007"/>
        </w:numPr>
        <w:pStyle w:val="Compact"/>
      </w:pPr>
      <w:r>
        <w:rPr>
          <w:bCs/>
          <w:b/>
        </w:rPr>
        <w:t xml:space="preserve">Energy Consumption in Use (`guuyrlgmmw`):</w:t>
      </w:r>
      <w:r>
        <w:t xml:space="preserve"> </w:t>
      </w:r>
      <w:r>
        <w:t xml:space="preserve">10 kWh/year.</w:t>
      </w:r>
    </w:p>
    <w:p>
      <w:pPr>
        <w:numPr>
          <w:ilvl w:val="0"/>
          <w:numId w:val="1007"/>
        </w:numPr>
        <w:pStyle w:val="Compact"/>
      </w:pPr>
      <w:r>
        <w:rPr>
          <w:bCs/>
          <w:b/>
        </w:rPr>
        <w:t xml:space="preserve">Assumed Electricity Grid Mix for Use Phase (Europe Focused):</w:t>
      </w:r>
      <w:r>
        <w:t xml:space="preserve"> </w:t>
      </w:r>
      <w:r>
        <w:t xml:space="preserve">Given the "Europe Focused" supply chain for consumption, an average European grid mix would be appropriate. For simplicity and as a representative value, assume an average European grid emission factor of 0.25 kg CO2e/kWh.</w:t>
      </w:r>
    </w:p>
    <w:bookmarkEnd w:id="30"/>
    <w:bookmarkStart w:id="31" w:name="end-of-life-eol-scenarios"/>
    <w:p>
      <w:pPr>
        <w:pStyle w:val="Heading3"/>
      </w:pPr>
      <w:r>
        <w:t xml:space="preserve">2.5. End-of-Life (EoL) Scenarios</w:t>
      </w:r>
    </w:p>
    <w:p>
      <w:pPr>
        <w:numPr>
          <w:ilvl w:val="0"/>
          <w:numId w:val="1008"/>
        </w:numPr>
        <w:pStyle w:val="Compact"/>
      </w:pPr>
      <w:r>
        <w:rPr>
          <w:bCs/>
          <w:b/>
        </w:rPr>
        <w:t xml:space="preserve">Recyclability Percentage (`rumtzxizev`):</w:t>
      </w:r>
      <w:r>
        <w:t xml:space="preserve"> </w:t>
      </w:r>
      <w:r>
        <w:t xml:space="preserve">80%.</w:t>
      </w:r>
    </w:p>
    <w:p>
      <w:pPr>
        <w:numPr>
          <w:ilvl w:val="0"/>
          <w:numId w:val="1008"/>
        </w:numPr>
        <w:pStyle w:val="Compact"/>
      </w:pPr>
      <w:r>
        <w:rPr>
          <w:bCs/>
          <w:b/>
        </w:rPr>
        <w:t xml:space="preserve">Circular/Take-back Programs (`nqjkpzyulr`):</w:t>
      </w:r>
      <w:r>
        <w:t xml:space="preserve"> </w:t>
      </w:r>
      <w:r>
        <w:t xml:space="preserve">Yes, fully operational.</w:t>
      </w:r>
    </w:p>
    <w:p>
      <w:pPr>
        <w:numPr>
          <w:ilvl w:val="0"/>
          <w:numId w:val="1008"/>
        </w:numPr>
        <w:pStyle w:val="Compact"/>
      </w:pPr>
      <w:r>
        <w:rPr>
          <w:bCs/>
          <w:b/>
        </w:rPr>
        <w:t xml:space="preserve">Assumed Avoided Emissions from Recycling:</w:t>
      </w:r>
      <w:r>
        <w:t xml:space="preserve"> </w:t>
      </w:r>
      <w:r>
        <w:t xml:space="preserve">For materials like plastics and metals, recycling can reduce emissions significantly compared to virgin production. An average reduction of 50% for recycled content is assumed for the recyclable portion.</w:t>
      </w:r>
    </w:p>
    <w:p>
      <w:pPr>
        <w:numPr>
          <w:ilvl w:val="0"/>
          <w:numId w:val="1008"/>
        </w:numPr>
        <w:pStyle w:val="Compact"/>
      </w:pPr>
      <w:r>
        <w:rPr>
          <w:bCs/>
          <w:b/>
        </w:rPr>
        <w:t xml:space="preserve">Remaining Waste (20%):</w:t>
      </w:r>
      <w:r>
        <w:t xml:space="preserve"> </w:t>
      </w:r>
      <w:r>
        <w:t xml:space="preserve">Assumed to be disposed of via incineration with energy recovery or landfilling, with small residual emissions.</w:t>
      </w:r>
    </w:p>
    <w:p>
      <w:r>
        <w:pict>
          <v:rect style="width:0;height:1.5pt" o:hralign="center" o:hrstd="t" o:hr="t"/>
        </w:pict>
      </w:r>
    </w:p>
    <w:bookmarkEnd w:id="31"/>
    <w:bookmarkEnd w:id="32"/>
    <w:bookmarkStart w:id="42" w:name="Xdd1c2ba429305467bad58a0828410d9d0fce25c"/>
    <w:p>
      <w:pPr>
        <w:pStyle w:val="Heading2"/>
      </w:pPr>
      <w:r>
        <w:t xml:space="preserve">3. Emissions Calculation (Activity * Emission Factor = CO2e)</w:t>
      </w:r>
    </w:p>
    <w:p>
      <w:pPr>
        <w:pStyle w:val="FirstParagraph"/>
      </w:pPr>
      <w:r>
        <w:t xml:space="preserve">Emissions are categorized according to the GHG Protocol Scopes. The calculations reflect the functional unit of 1.0 unit of</w:t>
      </w:r>
      <w:r>
        <w:t xml:space="preserve"> </w:t>
      </w:r>
      <w:r>
        <w:rPr>
          <w:bCs/>
          <w:b/>
        </w:rPr>
        <w:t xml:space="preserve">yjhsvglhwd</w:t>
      </w:r>
      <w:r>
        <w:t xml:space="preserve">.</w:t>
      </w:r>
    </w:p>
    <w:bookmarkStart w:id="33" w:name="scope-1-emissions-direct-emissions"/>
    <w:p>
      <w:pPr>
        <w:pStyle w:val="Heading3"/>
      </w:pPr>
      <w:r>
        <w:t xml:space="preserve">3.1. Scope 1 Emissions (Direct Emissions)</w:t>
      </w:r>
    </w:p>
    <w:p>
      <w:pPr>
        <w:pStyle w:val="FirstParagraph"/>
      </w:pPr>
      <w:r>
        <w:t xml:space="preserve">Scope 1 emissions cover direct GHG emissions from sources owned or controlled by</w:t>
      </w:r>
      <w:r>
        <w:t xml:space="preserve"> </w:t>
      </w:r>
      <w:r>
        <w:rPr>
          <w:bCs/>
          <w:b/>
        </w:rPr>
        <w:t xml:space="preserve">tdegsiluyx</w:t>
      </w:r>
      <w:r>
        <w:t xml:space="preserve">. For a product PCF with a "factory_gate" boundary, this typically includes on-site fuel combustion for manufacturing processes not covered by purchased electricity.</w:t>
      </w:r>
    </w:p>
    <w:p>
      <w:pPr>
        <w:numPr>
          <w:ilvl w:val="0"/>
          <w:numId w:val="1009"/>
        </w:numPr>
        <w:pStyle w:val="Compact"/>
      </w:pPr>
      <w:r>
        <w:t xml:space="preserve">Assumed direct fuel combustion (e.g., natural gas for process heat at the factory in China): Negligible for a small electronic device, or considered embedded in the general energy intensity if electricity-dominant. For this analysis, direct Scope 1 emissions for the product\'s manufacturing process are assumed to be &lt; 0.01 kg CO2e and therefore considered de minimis for this product-level assessment.</w:t>
      </w:r>
    </w:p>
    <w:p>
      <w:pPr>
        <w:pStyle w:val="FirstParagraph"/>
      </w:pPr>
      <w:r>
        <w:rPr>
          <w:bCs/>
          <w:b/>
        </w:rPr>
        <w:t xml:space="preserve">Total Scope 1 Emissions: ~0.00 kg CO2e</w:t>
      </w:r>
    </w:p>
    <w:bookmarkEnd w:id="33"/>
    <w:bookmarkStart w:id="34" w:name="X1bd5ed5ba51603fe7fc5fd46de6dc3081dfffbb"/>
    <w:p>
      <w:pPr>
        <w:pStyle w:val="Heading3"/>
      </w:pPr>
      <w:r>
        <w:t xml:space="preserve">3.2. Scope 2 Emissions (Indirect Emissions from Purchased Energy)</w:t>
      </w:r>
    </w:p>
    <w:p>
      <w:pPr>
        <w:pStyle w:val="FirstParagraph"/>
      </w:pPr>
      <w:r>
        <w:t xml:space="preserve">Scope 2 emissions account for GHG emissions from the generation of purchased electricity, heat, or steam consumed by</w:t>
      </w:r>
      <w:r>
        <w:t xml:space="preserve"> </w:t>
      </w:r>
      <w:r>
        <w:rPr>
          <w:bCs/>
          <w:b/>
        </w:rPr>
        <w:t xml:space="preserve">tdegsiluyx</w:t>
      </w:r>
      <w:r>
        <w:t xml:space="preserve">.</w:t>
      </w:r>
    </w:p>
    <w:p>
      <w:pPr>
        <w:numPr>
          <w:ilvl w:val="0"/>
          <w:numId w:val="1010"/>
        </w:numPr>
        <w:pStyle w:val="Compact"/>
      </w:pPr>
      <w:r>
        <w:t xml:space="preserve">Electricity purchased for manufacturing (China): 4.5 kWh/unit (net grid consumption after 70% renewable usage).</w:t>
      </w:r>
    </w:p>
    <w:p>
      <w:pPr>
        <w:numPr>
          <w:ilvl w:val="0"/>
          <w:numId w:val="1010"/>
        </w:numPr>
        <w:pStyle w:val="Compact"/>
      </w:pPr>
      <w:r>
        <w:t xml:space="preserve">China Grid Emission Factor: 0.60 kg CO2e/kWh.</w:t>
      </w:r>
    </w:p>
    <w:p>
      <w:pPr>
        <w:numPr>
          <w:ilvl w:val="0"/>
          <w:numId w:val="1010"/>
        </w:numPr>
        <w:pStyle w:val="Compact"/>
      </w:pPr>
      <w:r>
        <w:rPr>
          <w:bCs/>
          <w:b/>
        </w:rPr>
        <w:t xml:space="preserve">Scope 2 Emissions:</w:t>
      </w:r>
      <w:r>
        <w:t xml:space="preserve"> </w:t>
      </w:r>
      <w:r>
        <w:t xml:space="preserve">4.5 kWh/unit * 0.60 kg CO2e/kWh =</w:t>
      </w:r>
      <w:r>
        <w:t xml:space="preserve"> </w:t>
      </w:r>
      <w:r>
        <w:rPr>
          <w:bCs/>
          <w:b/>
        </w:rPr>
        <w:t xml:space="preserve">2.70 kg CO2e</w:t>
      </w:r>
      <w:r>
        <w:t xml:space="preserve">.</w:t>
      </w:r>
    </w:p>
    <w:p>
      <w:pPr>
        <w:pStyle w:val="FirstParagraph"/>
      </w:pPr>
      <w:r>
        <w:rPr>
          <w:bCs/>
          <w:b/>
        </w:rPr>
        <w:t xml:space="preserve">Total Scope 2 Emissions: 2.70 kg CO2e</w:t>
      </w:r>
    </w:p>
    <w:bookmarkEnd w:id="34"/>
    <w:bookmarkStart w:id="40" w:name="scope-3-emissions-value-chain-emissions"/>
    <w:p>
      <w:pPr>
        <w:pStyle w:val="Heading3"/>
      </w:pPr>
      <w:r>
        <w:t xml:space="preserve">3.3. Scope 3 Emissions (Value Chain Emissions)</w:t>
      </w:r>
    </w:p>
    <w:p>
      <w:pPr>
        <w:pStyle w:val="FirstParagraph"/>
      </w:pPr>
      <w:r>
        <w:t xml:space="preserve">Scope 3 emissions are all other indirect emissions that occur in the value chain, both upstream and downstream.</w:t>
      </w:r>
    </w:p>
    <w:bookmarkStart w:id="35" w:name="Xf658e76007abdbb5a86b3b1fa15dcb907d7180e"/>
    <w:p>
      <w:pPr>
        <w:pStyle w:val="Heading4"/>
      </w:pPr>
      <w:r>
        <w:t xml:space="preserve">3.3.1. Category 1: Purchased Goods and Services (Upstream Materials)</w:t>
      </w:r>
    </w:p>
    <w:p>
      <w:pPr>
        <w:pStyle w:val="FirstParagraph"/>
      </w:pPr>
      <w:r>
        <w:t xml:space="preserve">This category includes emissions from the extraction, production, and transportation of purchased raw materials and components.</w:t>
      </w:r>
    </w:p>
    <w:p>
      <w:pPr>
        <w:numPr>
          <w:ilvl w:val="0"/>
          <w:numId w:val="1011"/>
        </w:numPr>
        <w:pStyle w:val="Compact"/>
      </w:pPr>
      <w:r>
        <w:t xml:space="preserve">Emissions from BOM materials (as calculated in Section 2.1): 1.942 kg CO2e.</w:t>
      </w:r>
    </w:p>
    <w:p>
      <w:pPr>
        <w:numPr>
          <w:ilvl w:val="0"/>
          <w:numId w:val="1011"/>
        </w:numPr>
        <w:pStyle w:val="Compact"/>
      </w:pPr>
      <w:r>
        <w:t xml:space="preserve">Upstream transport for raw materials (assumed 0.33 kg over 10,000 km ocean, 500 km road):</w:t>
      </w:r>
    </w:p>
    <w:p>
      <w:pPr>
        <w:numPr>
          <w:ilvl w:val="1"/>
          <w:numId w:val="1012"/>
        </w:numPr>
        <w:pStyle w:val="Compact"/>
      </w:pPr>
      <w:r>
        <w:t xml:space="preserve">Ocean: 0.33 kg * 10,000 km * 0.016 kg CO2e/tkm = 0.0528 kg CO2e.</w:t>
      </w:r>
    </w:p>
    <w:p>
      <w:pPr>
        <w:numPr>
          <w:ilvl w:val="1"/>
          <w:numId w:val="1012"/>
        </w:numPr>
        <w:pStyle w:val="Compact"/>
      </w:pPr>
      <w:r>
        <w:t xml:space="preserve">Road: 0.33 kg * 500 km * 0.10 kg CO2e/tkm = 0.0165 kg CO2e.</w:t>
      </w:r>
    </w:p>
    <w:p>
      <w:pPr>
        <w:numPr>
          <w:ilvl w:val="1"/>
          <w:numId w:val="1012"/>
        </w:numPr>
        <w:pStyle w:val="Compact"/>
      </w:pPr>
      <w:r>
        <w:t xml:space="preserve">Total Upstream Transport: 0.0528 + 0.0165 = 0.0693 kg CO2e.</w:t>
      </w:r>
    </w:p>
    <w:p>
      <w:pPr>
        <w:pStyle w:val="FirstParagraph"/>
      </w:pPr>
      <w:r>
        <w:rPr>
          <w:bCs/>
          <w:b/>
        </w:rPr>
        <w:t xml:space="preserve">Total Scope 3, Category 1 Emissions:</w:t>
      </w:r>
      <w:r>
        <w:t xml:space="preserve"> </w:t>
      </w:r>
      <w:r>
        <w:t xml:space="preserve">1.942 kg CO2e (materials) + 0.0693 kg CO2e (upstream transport) =</w:t>
      </w:r>
      <w:r>
        <w:t xml:space="preserve"> </w:t>
      </w:r>
      <w:r>
        <w:rPr>
          <w:bCs/>
          <w:b/>
        </w:rPr>
        <w:t xml:space="preserve">2.0113 kg CO2e</w:t>
      </w:r>
      <w:r>
        <w:t xml:space="preserve">.</w:t>
      </w:r>
    </w:p>
    <w:bookmarkEnd w:id="35"/>
    <w:bookmarkStart w:id="36" w:name="X55e3752367f43dee3794bbadae41dbce8877f34"/>
    <w:p>
      <w:pPr>
        <w:pStyle w:val="Heading4"/>
      </w:pPr>
      <w:r>
        <w:t xml:space="preserve">3.3.2. Category 4: Upstream Transportation and Distribution (for the reporting company\'s purchases, already mostly covered above)</w:t>
      </w:r>
    </w:p>
    <w:p>
      <w:pPr>
        <w:pStyle w:val="FirstParagraph"/>
      </w:pPr>
      <w:r>
        <w:t xml:space="preserve">Emissions from transportation and distribution of products purchased by the reporting company. This is integrated into Category 1 calculation for simplicity, representing the full lifecycle impact of purchased goods.</w:t>
      </w:r>
    </w:p>
    <w:bookmarkEnd w:id="36"/>
    <w:bookmarkStart w:id="37" w:name="X4b3e12f91b639b5a189d6be1fa0b344b49598fc"/>
    <w:p>
      <w:pPr>
        <w:pStyle w:val="Heading4"/>
      </w:pPr>
      <w:r>
        <w:t xml:space="preserve">3.3.3. Category 9: Downstream Transportation and Distribution (Product Distribution to Customer)</w:t>
      </w:r>
    </w:p>
    <w:p>
      <w:pPr>
        <w:pStyle w:val="FirstParagraph"/>
      </w:pPr>
      <w:r>
        <w:t xml:space="preserve">Emissions from the transportation and distribution of sold products from the reporting company\'s factory gate to the end-consumer.</w:t>
      </w:r>
    </w:p>
    <w:p>
      <w:pPr>
        <w:numPr>
          <w:ilvl w:val="0"/>
          <w:numId w:val="1013"/>
        </w:numPr>
        <w:pStyle w:val="Compact"/>
      </w:pPr>
      <w:r>
        <w:t xml:space="preserve">Product weight for transport: 0.33 kg/unit.</w:t>
      </w:r>
    </w:p>
    <w:p>
      <w:pPr>
        <w:numPr>
          <w:ilvl w:val="0"/>
          <w:numId w:val="1013"/>
        </w:numPr>
        <w:pStyle w:val="Compact"/>
      </w:pPr>
      <w:r>
        <w:t xml:space="preserve">Ocean Freight (China to European hub, 15,000 km): 0.33 kg * 15,000 km * 0.016 kg CO2e/tkm = 0.0792 kg CO2e.</w:t>
      </w:r>
    </w:p>
    <w:p>
      <w:pPr>
        <w:numPr>
          <w:ilvl w:val="0"/>
          <w:numId w:val="1013"/>
        </w:numPr>
        <w:pStyle w:val="Compact"/>
      </w:pPr>
      <w:r>
        <w:t xml:space="preserve">Road Freight (European distribution, 1,000 km HGV): 0.33 kg * 1,000 km * 0.10 kg CO2e/tkm = 0.033 kg CO2e.</w:t>
      </w:r>
    </w:p>
    <w:p>
      <w:pPr>
        <w:numPr>
          <w:ilvl w:val="0"/>
          <w:numId w:val="1013"/>
        </w:numPr>
        <w:pStyle w:val="Compact"/>
      </w:pPr>
      <w:r>
        <w:t xml:space="preserve">Last-Mile Delivery (200 km LCV): 0.33 kg * 200 km * 0.20 kg CO2e/tkm = 0.0132 kg CO2e.</w:t>
      </w:r>
    </w:p>
    <w:p>
      <w:pPr>
        <w:pStyle w:val="FirstParagraph"/>
      </w:pPr>
      <w:r>
        <w:rPr>
          <w:bCs/>
          <w:b/>
        </w:rPr>
        <w:t xml:space="preserve">Total Scope 3, Category 9 Emissions:</w:t>
      </w:r>
      <w:r>
        <w:t xml:space="preserve"> </w:t>
      </w:r>
      <w:r>
        <w:t xml:space="preserve">0.0792 + 0.033 + 0.0132 =</w:t>
      </w:r>
      <w:r>
        <w:t xml:space="preserve"> </w:t>
      </w:r>
      <w:r>
        <w:rPr>
          <w:bCs/>
          <w:b/>
        </w:rPr>
        <w:t xml:space="preserve">0.1254 kg CO2e</w:t>
      </w:r>
      <w:r>
        <w:t xml:space="preserve">.</w:t>
      </w:r>
    </w:p>
    <w:bookmarkEnd w:id="37"/>
    <w:bookmarkStart w:id="38" w:name="category-11-use-of-sold-products"/>
    <w:p>
      <w:pPr>
        <w:pStyle w:val="Heading4"/>
      </w:pPr>
      <w:r>
        <w:t xml:space="preserve">3.3.4. Category 11: Use of Sold Products</w:t>
      </w:r>
    </w:p>
    <w:p>
      <w:pPr>
        <w:pStyle w:val="FirstParagraph"/>
      </w:pPr>
      <w:r>
        <w:t xml:space="preserve">Emissions from the use of products sold by</w:t>
      </w:r>
      <w:r>
        <w:t xml:space="preserve"> </w:t>
      </w:r>
      <w:r>
        <w:rPr>
          <w:bCs/>
          <w:b/>
        </w:rPr>
        <w:t xml:space="preserve">tdegsiluyx</w:t>
      </w:r>
      <w:r>
        <w:t xml:space="preserve"> </w:t>
      </w:r>
      <w:r>
        <w:t xml:space="preserve">over their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energy consumption over lifespan: 10 kWh/year * 5 years = 50 kWh/unit.</w:t>
      </w:r>
    </w:p>
    <w:p>
      <w:pPr>
        <w:numPr>
          <w:ilvl w:val="0"/>
          <w:numId w:val="1014"/>
        </w:numPr>
        <w:pStyle w:val="Compact"/>
      </w:pPr>
      <w:r>
        <w:t xml:space="preserve">European Grid Emission Factor (assumed): 0.25 kg CO2e/kWh.</w:t>
      </w:r>
    </w:p>
    <w:p>
      <w:pPr>
        <w:pStyle w:val="FirstParagraph"/>
      </w:pPr>
      <w:r>
        <w:rPr>
          <w:bCs/>
          <w:b/>
        </w:rPr>
        <w:t xml:space="preserve">Total Scope 3, Category 11 Emissions:</w:t>
      </w:r>
      <w:r>
        <w:t xml:space="preserve"> </w:t>
      </w:r>
      <w:r>
        <w:t xml:space="preserve">50 kWh/unit * 0.25 kg CO2e/kWh =</w:t>
      </w:r>
      <w:r>
        <w:t xml:space="preserve"> </w:t>
      </w:r>
      <w:r>
        <w:rPr>
          <w:bCs/>
          <w:b/>
        </w:rPr>
        <w:t xml:space="preserve">12.50 kg CO2e</w:t>
      </w:r>
      <w:r>
        <w:t xml:space="preserve">.</w:t>
      </w:r>
    </w:p>
    <w:bookmarkEnd w:id="38"/>
    <w:bookmarkStart w:id="39" w:name="X9f66eef2700632e081dfe139021cb724ffcd2c5"/>
    <w:p>
      <w:pPr>
        <w:pStyle w:val="Heading4"/>
      </w:pPr>
      <w:r>
        <w:t xml:space="preserve">3.3.5. Category 12: End-of-Life Treatment of Sold Products</w:t>
      </w:r>
    </w:p>
    <w:p>
      <w:pPr>
        <w:pStyle w:val="FirstParagraph"/>
      </w:pPr>
      <w:r>
        <w:t xml:space="preserve">Emissions from the disposal and treatment of products at the end of their useful life.</w:t>
      </w:r>
    </w:p>
    <w:p>
      <w:pPr>
        <w:numPr>
          <w:ilvl w:val="0"/>
          <w:numId w:val="1015"/>
        </w:numPr>
        <w:pStyle w:val="Compact"/>
      </w:pPr>
      <w:r>
        <w:t xml:space="preserve">Total product weight at EoL: 0.33 kg.</w:t>
      </w:r>
    </w:p>
    <w:p>
      <w:pPr>
        <w:numPr>
          <w:ilvl w:val="0"/>
          <w:numId w:val="1015"/>
        </w:numPr>
        <w:pStyle w:val="Compact"/>
      </w:pPr>
      <w:r>
        <w:t xml:space="preserve">Recyclability Percentage: 80%.</w:t>
      </w:r>
    </w:p>
    <w:p>
      <w:pPr>
        <w:numPr>
          <w:ilvl w:val="0"/>
          <w:numId w:val="1015"/>
        </w:numPr>
        <w:pStyle w:val="Compact"/>
      </w:pPr>
      <w:r>
        <w:t xml:space="preserve">Recycled portion: 0.33 kg * 0.80 = 0.264 kg.</w:t>
      </w:r>
    </w:p>
    <w:p>
      <w:pPr>
        <w:numPr>
          <w:ilvl w:val="0"/>
          <w:numId w:val="1015"/>
        </w:numPr>
        <w:pStyle w:val="Compact"/>
      </w:pPr>
      <w:r>
        <w:t xml:space="preserve">Avoided emissions from recycling (assuming 50% avoided impact compared to virgin material production for the relevant material categories, using a simplified average material emission factor for the recycled portion):</w:t>
      </w:r>
      <w:r>
        <w:t xml:space="preserve"> </w:t>
      </w:r>
      <w:r>
        <w:t xml:space="preserve">* Average material EF (simplified): (1.942 kg CO2e / 0.33 kg) = ~5.88 kg CO2e/kg.</w:t>
      </w:r>
      <w:r>
        <w:t xml:space="preserve"> </w:t>
      </w:r>
      <w:r>
        <w:t xml:space="preserve">* Avoided emissions: 0.264 kg * 5.88 kg CO2e/kg * 0.50 = -0.776 kg CO2e.</w:t>
      </w:r>
    </w:p>
    <w:p>
      <w:pPr>
        <w:numPr>
          <w:ilvl w:val="0"/>
          <w:numId w:val="1015"/>
        </w:numPr>
        <w:pStyle w:val="Compact"/>
      </w:pPr>
      <w:r>
        <w:t xml:space="preserve">Non-recycled portion: 0.33 kg * 0.20 = 0.066 kg.</w:t>
      </w:r>
    </w:p>
    <w:p>
      <w:pPr>
        <w:numPr>
          <w:ilvl w:val="0"/>
          <w:numId w:val="1015"/>
        </w:numPr>
        <w:pStyle w:val="Compact"/>
      </w:pPr>
      <w:r>
        <w:t xml:space="preserve">Emissions from disposal of non-recycled portion (e.g., incineration/landfill, assumed 1.0 kg CO2e/kg for remaining waste): 0.066 kg * 1.0 kg CO2e/kg = 0.066 kg CO2e.</w:t>
      </w:r>
    </w:p>
    <w:p>
      <w:pPr>
        <w:pStyle w:val="FirstParagraph"/>
      </w:pPr>
      <w:r>
        <w:rPr>
          <w:bCs/>
          <w:b/>
        </w:rPr>
        <w:t xml:space="preserve">Total Scope 3, Category 12 Emissions:</w:t>
      </w:r>
      <w:r>
        <w:t xml:space="preserve"> </w:t>
      </w:r>
      <w:r>
        <w:t xml:space="preserve">-0.776 kg CO2e (avoided) + 0.066 kg CO2e (disposal) =</w:t>
      </w:r>
      <w:r>
        <w:t xml:space="preserve"> </w:t>
      </w:r>
      <w:r>
        <w:rPr>
          <w:bCs/>
          <w:b/>
        </w:rPr>
        <w:t xml:space="preserve">-0.710 kg CO2e</w:t>
      </w:r>
      <w:r>
        <w:t xml:space="preserve"> </w:t>
      </w:r>
      <w:r>
        <w:t xml:space="preserve">(net removal/avoidance).</w:t>
      </w:r>
    </w:p>
    <w:bookmarkEnd w:id="39"/>
    <w:bookmarkEnd w:id="40"/>
    <w:bookmarkStart w:id="41"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 per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processes (assumed de minimis)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manufacturing (China)</w:t>
            </w:r>
          </w:p>
        </w:tc>
        <w:tc>
          <w:tcPr/>
          <w:p>
            <w:pPr>
              <w:pStyle w:val="Compact"/>
              <w:jc w:val="left"/>
            </w:pPr>
            <w:r>
              <w:t xml:space="preserve">2.70</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&amp; upstream transport</w:t>
            </w:r>
          </w:p>
        </w:tc>
        <w:tc>
          <w:tcPr/>
          <w:p>
            <w:pPr>
              <w:pStyle w:val="Compact"/>
              <w:jc w:val="left"/>
            </w:pPr>
            <w:r>
              <w:t xml:space="preserve">2.0113</w:t>
            </w:r>
          </w:p>
        </w:tc>
      </w:tr>
      <w:tr>
        <w:tc>
          <w:tcPr>
            <w:gridSpan w:val="1"/>
            <w:vMerge w:val="continue"/>
          </w:tcPr>
          <w:p>
            <w:pPr/>
          </w:p>
        </w:tc>
        <w:tc>
          <w:tcPr/>
          <w:p>
            <w:pPr>
              <w:pStyle w:val="Compact"/>
              <w:jc w:val="left"/>
            </w:pPr>
            <w:r>
              <w:t xml:space="preserve">Category 9 (Downstream Transport &amp; Distribution)</w:t>
            </w:r>
          </w:p>
        </w:tc>
        <w:tc>
          <w:tcPr/>
          <w:p>
            <w:pPr>
              <w:pStyle w:val="Compact"/>
              <w:jc w:val="left"/>
            </w:pPr>
            <w:r>
              <w:t xml:space="preserve">Product distribution to customer</w:t>
            </w:r>
          </w:p>
        </w:tc>
        <w:tc>
          <w:tcPr/>
          <w:p>
            <w:pPr>
              <w:pStyle w:val="Compact"/>
              <w:jc w:val="left"/>
            </w:pPr>
            <w:r>
              <w:t xml:space="preserve">0.1254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w:t>
            </w:r>
          </w:p>
        </w:tc>
        <w:tc>
          <w:tcPr/>
          <w:p>
            <w:pPr>
              <w:pStyle w:val="Compact"/>
              <w:jc w:val="left"/>
            </w:pPr>
            <w:r>
              <w:t xml:space="preserve">Recycling &amp; disposal</w:t>
            </w:r>
          </w:p>
        </w:tc>
        <w:tc>
          <w:tcPr/>
          <w:p>
            <w:pPr>
              <w:pStyle w:val="Compact"/>
              <w:jc w:val="left"/>
            </w:pPr>
            <w:r>
              <w:t xml:space="preserve">-0.710</w:t>
            </w:r>
          </w:p>
        </w:tc>
      </w:tr>
      <w:tr>
        <w:tc>
          <w:tcPr>
            <w:gridSpan w:val="3"/>
          </w:tcPr>
          <w:p>
            <w:pPr>
              <w:pStyle w:val="Compact"/>
              <w:jc w:val="right"/>
            </w:pPr>
            <w:r>
              <w:t xml:space="preserve">TOTAL PRODUCT CARBON FOOTPRINT:</w:t>
            </w:r>
          </w:p>
        </w:tc>
        <w:tc>
          <w:tcPr/>
          <w:p>
            <w:pPr>
              <w:pStyle w:val="Compact"/>
              <w:jc w:val="left"/>
            </w:pPr>
            <w:r>
              <w:rPr>
                <w:bCs/>
                <w:b/>
              </w:rPr>
              <w:t xml:space="preserve">16.6267 kg CO2e per unit</w:t>
            </w:r>
          </w:p>
        </w:tc>
      </w:tr>
    </w:tbl>
    <w:p>
      <w:r>
        <w:pict>
          <v:rect style="width:0;height:1.5pt" o:hralign="center" o:hrstd="t" o:hr="t"/>
        </w:pict>
      </w:r>
    </w:p>
    <w:bookmarkEnd w:id="41"/>
    <w:bookmarkEnd w:id="42"/>
    <w:bookmarkStart w:id="46" w:name="review-report"/>
    <w:p>
      <w:pPr>
        <w:pStyle w:val="Heading2"/>
      </w:pPr>
      <w:r>
        <w:t xml:space="preserve">4. Review &amp; Report</w:t>
      </w:r>
    </w:p>
    <w:bookmarkStart w:id="43" w:name="hotspot-analysis"/>
    <w:p>
      <w:pPr>
        <w:pStyle w:val="Heading3"/>
      </w:pPr>
      <w:r>
        <w:t xml:space="preserve">4.1. Hotspot Analysis</w:t>
      </w:r>
    </w:p>
    <w:p>
      <w:pPr>
        <w:pStyle w:val="FirstParagraph"/>
      </w:pPr>
      <w:r>
        <w:t xml:space="preserve">The PCF analysis for</w:t>
      </w:r>
      <w:r>
        <w:t xml:space="preserve"> </w:t>
      </w:r>
      <w:r>
        <w:rPr>
          <w:bCs/>
          <w:b/>
        </w:rPr>
        <w:t xml:space="preserve">yjhsvglhwd</w:t>
      </w:r>
      <w:r>
        <w:t xml:space="preserve"> </w:t>
      </w:r>
      <w:r>
        <w:t xml:space="preserve">reveals several key emission hotspots:</w:t>
      </w:r>
    </w:p>
    <w:p>
      <w:pPr>
        <w:numPr>
          <w:ilvl w:val="0"/>
          <w:numId w:val="1016"/>
        </w:numPr>
        <w:pStyle w:val="Compact"/>
      </w:pPr>
      <w:r>
        <w:rPr>
          <w:bCs/>
          <w:b/>
        </w:rPr>
        <w:t xml:space="preserve">Use Phase (Scope 3, Category 11):</w:t>
      </w:r>
      <w:r>
        <w:t xml:space="preserve"> </w:t>
      </w:r>
      <w:r>
        <w:t xml:space="preserve">This stage represents the largest contributor to the overall footprint (12.50 kg CO2e), accounting for approximately 75% of total emissions. This is primarily due to the product\'s lifespan of 5 years and its annual energy consumption, even with an assumed moderately clean European grid mix. This is a common hotspot for electronic devices.</w:t>
      </w:r>
    </w:p>
    <w:p>
      <w:pPr>
        <w:numPr>
          <w:ilvl w:val="0"/>
          <w:numId w:val="1016"/>
        </w:numPr>
        <w:pStyle w:val="Compact"/>
      </w:pPr>
      <w:r>
        <w:rPr>
          <w:bCs/>
          <w:b/>
        </w:rPr>
        <w:t xml:space="preserve">Production Phase (Scope 2 &amp; Scope 3 Category 1):</w:t>
      </w:r>
      <w:r>
        <w:t xml:space="preserve"> </w:t>
      </w:r>
      <w:r>
        <w:t xml:space="preserve">The manufacturing of raw materials (Scope 3, Category 1: 2.0113 kg CO2e) and the purchased electricity for factory operations (Scope 2: 2.70 kg CO2e) together constitute the second largest impact area, totalling 4.7113 kg CO2e, or about 28% of the total. The energy-intensive production of electronic components and the reliance on the Chinese grid (even with 70% renewable energy usage) are significant factors.</w:t>
      </w:r>
    </w:p>
    <w:p>
      <w:pPr>
        <w:numPr>
          <w:ilvl w:val="0"/>
          <w:numId w:val="1016"/>
        </w:numPr>
        <w:pStyle w:val="Compact"/>
      </w:pPr>
      <w:r>
        <w:rPr>
          <w:bCs/>
          <w:b/>
        </w:rPr>
        <w:t xml:space="preserve">End-of-Life (Scope 3, Category 12):</w:t>
      </w:r>
      <w:r>
        <w:t xml:space="preserve"> </w:t>
      </w:r>
      <w:r>
        <w:t xml:space="preserve">The circular economy measures, particularly the 80% recyclability and operational take-back programs, result in a net negative emission (-0.710 kg CO2e), indicating an avoided burden due to recycling. This demonstrates the positive impact of circularity.</w:t>
      </w:r>
    </w:p>
    <w:bookmarkEnd w:id="43"/>
    <w:bookmarkStart w:id="44" w:name="scope-3-compliance-95-coverage"/>
    <w:p>
      <w:pPr>
        <w:pStyle w:val="Heading3"/>
      </w:pPr>
      <w:r>
        <w:t xml:space="preserve">4.2. Scope 3 Compliance (95% Coverage)</w:t>
      </w:r>
    </w:p>
    <w:p>
      <w:pPr>
        <w:pStyle w:val="FirstParagraph"/>
      </w:pPr>
      <w:r>
        <w:t xml:space="preserve">As per 2026 GHG Protocol requirements, at least 95% coverage for Scope 3 reporting is targeted.</w:t>
      </w:r>
    </w:p>
    <w:p>
      <w:pPr>
        <w:numPr>
          <w:ilvl w:val="0"/>
          <w:numId w:val="1017"/>
        </w:numPr>
        <w:pStyle w:val="Compact"/>
      </w:pPr>
      <w:r>
        <w:t xml:space="preserve">Calculated Scope 3 Emissions: (2.0113 + 0.1254 + 12.50 - 0.710) = 13.9267 kg CO2e.</w:t>
      </w:r>
    </w:p>
    <w:p>
      <w:pPr>
        <w:numPr>
          <w:ilvl w:val="0"/>
          <w:numId w:val="1017"/>
        </w:numPr>
        <w:pStyle w:val="Compact"/>
      </w:pPr>
      <w:r>
        <w:t xml:space="preserve">Total PCF: 16.6267 kg CO2e.</w:t>
      </w:r>
    </w:p>
    <w:p>
      <w:pPr>
        <w:numPr>
          <w:ilvl w:val="0"/>
          <w:numId w:val="1017"/>
        </w:numPr>
        <w:pStyle w:val="Compact"/>
      </w:pPr>
      <w:r>
        <w:t xml:space="preserve">Scope 3 Coverage Percentage: (13.9267 / 16.6267) * 100% = 83.76%.</w:t>
      </w:r>
    </w:p>
    <w:p>
      <w:pPr>
        <w:pStyle w:val="FirstParagraph"/>
      </w:pPr>
      <w:r>
        <w:t xml:space="preserve">The current calculation, relying on assumed data and focusing on the most material categories (1, 9, 11, 12), achieves 83.76% coverage. While substantial, it falls short of the 95% target. To achieve 95% coverage,</w:t>
      </w:r>
      <w:r>
        <w:t xml:space="preserve"> </w:t>
      </w:r>
      <w:r>
        <w:rPr>
          <w:bCs/>
          <w:b/>
        </w:rPr>
        <w:t xml:space="preserve">tdegsiluyx</w:t>
      </w:r>
      <w:r>
        <w:t xml:space="preserve"> </w:t>
      </w:r>
      <w:r>
        <w:t xml:space="preserve">would need to collect more primary data for other Scope 3 categories such as business travel, employee commuting, waste generated in operations, investments, and capital goods, and potentially assess less material categories. For a product-level PCF, the focus is often on upstream materials, transport, use, and EoL, which typically represent the bulk of emissions for physical products.</w:t>
      </w:r>
    </w:p>
    <w:bookmarkEnd w:id="44"/>
    <w:bookmarkStart w:id="45" w:name="data-reliability-and-limitations"/>
    <w:p>
      <w:pPr>
        <w:pStyle w:val="Heading3"/>
      </w:pPr>
      <w:r>
        <w:t xml:space="preserve">4.3. Data Reliability and Limitations</w:t>
      </w:r>
    </w:p>
    <w:p>
      <w:pPr>
        <w:pStyle w:val="FirstParagraph"/>
      </w:pPr>
      <w:r>
        <w:t xml:space="preserve">The reliability of this PCF is influenced by the following:</w:t>
      </w:r>
    </w:p>
    <w:p>
      <w:pPr>
        <w:numPr>
          <w:ilvl w:val="0"/>
          <w:numId w:val="1018"/>
        </w:numPr>
        <w:pStyle w:val="Compact"/>
      </w:pPr>
      <w:r>
        <w:rPr>
          <w:bCs/>
          <w:b/>
        </w:rPr>
        <w:t xml:space="preserve">Assumed Data:</w:t>
      </w:r>
      <w:r>
        <w:t xml:space="preserve"> </w:t>
      </w:r>
      <w:r>
        <w:t xml:space="preserve">A significant portion of the input data (BOM specifics, transport distances, energy consumption, emission factors) was based on general industry averages and reasonable assumptions due to the placeholder nature of the provided parameters. While chosen to be representative, these are not primary, product-specific data.</w:t>
      </w:r>
    </w:p>
    <w:p>
      <w:pPr>
        <w:numPr>
          <w:ilvl w:val="0"/>
          <w:numId w:val="1018"/>
        </w:numPr>
        <w:pStyle w:val="Compact"/>
      </w:pPr>
      <w:r>
        <w:rPr>
          <w:bCs/>
          <w:b/>
        </w:rPr>
        <w:t xml:space="preserve">Emission Factors:</w:t>
      </w:r>
      <w:r>
        <w:t xml:space="preserve"> </w:t>
      </w:r>
      <w:r>
        <w:t xml:space="preserve">Industry-standard emission factors (e.g., Ecoinvent/DEFRA equivalents) were used where specific data was unavailable. These factors provide good estimates but may not perfectly reflect the specific processes and suppliers within</w:t>
      </w:r>
      <w:r>
        <w:t xml:space="preserve"> </w:t>
      </w:r>
      <w:r>
        <w:rPr>
          <w:bCs/>
          <w:b/>
        </w:rPr>
        <w:t xml:space="preserve">tdegsiluyx\'s</w:t>
      </w:r>
      <w:r>
        <w:t xml:space="preserve"> </w:t>
      </w:r>
      <w:r>
        <w:t xml:space="preserve">value chain.</w:t>
      </w:r>
    </w:p>
    <w:p>
      <w:pPr>
        <w:numPr>
          <w:ilvl w:val="0"/>
          <w:numId w:val="1018"/>
        </w:numPr>
        <w:pStyle w:val="Compact"/>
      </w:pPr>
      <w:r>
        <w:rPr>
          <w:bCs/>
          <w:b/>
        </w:rPr>
        <w:t xml:space="preserve">System Boundary:</w:t>
      </w:r>
      <w:r>
        <w:t xml:space="preserve"> </w:t>
      </w:r>
      <w:r>
        <w:t xml:space="preserve">The "factory_gate" system boundary was initially specified, but a full "cradle-to-grave" analysis was conducted to incorporate use-phase and end-of-life parameters. This comprehensive approach is more robust but also relies on assumptions for downstream stages.</w:t>
      </w:r>
    </w:p>
    <w:p>
      <w:pPr>
        <w:pStyle w:val="FirstParagraph"/>
      </w:pPr>
      <w:r>
        <w:t xml:space="preserve">To improve accuracy,</w:t>
      </w:r>
      <w:r>
        <w:t xml:space="preserve"> </w:t>
      </w:r>
      <w:r>
        <w:rPr>
          <w:bCs/>
          <w:b/>
        </w:rPr>
        <w:t xml:space="preserve">tdegsiluyx</w:t>
      </w:r>
      <w:r>
        <w:t xml:space="preserve"> </w:t>
      </w:r>
      <w:r>
        <w:t xml:space="preserve">should prioritize collecting primary data from its suppliers for material production, transportation, and specific energy consumption at the manufacturing facility. Obtaining verified emission factors for specific components and logistics routes will significantly enhance the robustness of future PCF analyses.</w:t>
      </w:r>
    </w:p>
    <w:p>
      <w:r>
        <w:pict>
          <v:rect style="width:0;height:1.5pt" o:hralign="center" o:hrstd="t" o:hr="t"/>
        </w:pict>
      </w:r>
    </w:p>
    <w:bookmarkEnd w:id="45"/>
    <w:bookmarkEnd w:id="46"/>
    <w:bookmarkStart w:id="47" w:name="recommendations-for-emission-reduction"/>
    <w:p>
      <w:pPr>
        <w:pStyle w:val="Heading2"/>
      </w:pPr>
      <w:r>
        <w:t xml:space="preserve">5. Recommendations for Emission Reduction</w:t>
      </w:r>
    </w:p>
    <w:p>
      <w:pPr>
        <w:pStyle w:val="FirstParagraph"/>
      </w:pPr>
      <w:r>
        <w:t xml:space="preserve">Based on this PCF analysis,</w:t>
      </w:r>
      <w:r>
        <w:t xml:space="preserve"> </w:t>
      </w:r>
      <w:r>
        <w:rPr>
          <w:bCs/>
          <w:b/>
        </w:rPr>
        <w:t xml:space="preserve">tdegsiluyx</w:t>
      </w:r>
      <w:r>
        <w:t xml:space="preserve"> </w:t>
      </w:r>
      <w:r>
        <w:t xml:space="preserve">can focus on the following areas to reduce the carbon footprint of</w:t>
      </w:r>
      <w:r>
        <w:t xml:space="preserve"> </w:t>
      </w:r>
      <w:r>
        <w:rPr>
          <w:bCs/>
          <w:b/>
        </w:rPr>
        <w:t xml:space="preserve">yjhsvglhwd</w:t>
      </w:r>
      <w:r>
        <w:t xml:space="preserve">:</w:t>
      </w:r>
    </w:p>
    <w:p>
      <w:pPr>
        <w:numPr>
          <w:ilvl w:val="0"/>
          <w:numId w:val="1019"/>
        </w:numPr>
        <w:pStyle w:val="Compact"/>
      </w:pPr>
      <w:r>
        <w:rPr>
          <w:bCs/>
          <w:b/>
        </w:rPr>
        <w:t xml:space="preserve">Optimize Use Phase:</w:t>
      </w:r>
      <w:r>
        <w:t xml:space="preserve"> </w:t>
      </w:r>
      <w:r>
        <w:t xml:space="preserve">Invest in product design for energy efficiency to reduce energy consumption during the 5-year lifespan. Educate consumers on efficient usage. Explore power management features or alternative energy sources for the product\'s operation.</w:t>
      </w:r>
    </w:p>
    <w:p>
      <w:pPr>
        <w:numPr>
          <w:ilvl w:val="0"/>
          <w:numId w:val="1019"/>
        </w:numPr>
        <w:pStyle w:val="Compact"/>
      </w:pPr>
      <w:r>
        <w:rPr>
          <w:bCs/>
          <w:b/>
        </w:rPr>
        <w:t xml:space="preserve">Decarbonize Manufacturing and Supply Chain:</w:t>
      </w:r>
      <w:r>
        <w:t xml:space="preserve"> </w:t>
      </w:r>
      <w:r>
        <w:t xml:space="preserve">Increase the percentage of renewable energy used at the manufacturing facility beyond 70%. Engage with suppliers to encourage their transition to renewable energy and more efficient production processes.</w:t>
      </w:r>
    </w:p>
    <w:p>
      <w:pPr>
        <w:numPr>
          <w:ilvl w:val="0"/>
          <w:numId w:val="1019"/>
        </w:numPr>
        <w:pStyle w:val="Compact"/>
      </w:pPr>
      <w:r>
        <w:rPr>
          <w:bCs/>
          <w:b/>
        </w:rPr>
        <w:t xml:space="preserve">Material Optimization:</w:t>
      </w:r>
      <w:r>
        <w:t xml:space="preserve"> </w:t>
      </w:r>
      <w:r>
        <w:t xml:space="preserve">Continue to prioritize recycled and low-carbon materials for components and packaging. Explore lightweighting opportunities to reduce material usage and transport emissions.</w:t>
      </w:r>
    </w:p>
    <w:p>
      <w:pPr>
        <w:numPr>
          <w:ilvl w:val="0"/>
          <w:numId w:val="1019"/>
        </w:numPr>
        <w:pStyle w:val="Compact"/>
      </w:pPr>
      <w:r>
        <w:rPr>
          <w:bCs/>
          <w:b/>
        </w:rPr>
        <w:t xml:space="preserve">Enhance Circularity:</w:t>
      </w:r>
      <w:r>
        <w:t xml:space="preserve"> </w:t>
      </w:r>
      <w:r>
        <w:t xml:space="preserve">Leverage the "fully operational" circular/take-back programs to maximize product lifespan through repair, refurbishment, and high-quality recycling. Continuously monitor and improve recycling efficiency to maximize avoided emissions.</w:t>
      </w:r>
    </w:p>
    <w:p>
      <w:pPr>
        <w:numPr>
          <w:ilvl w:val="0"/>
          <w:numId w:val="1019"/>
        </w:numPr>
        <w:pStyle w:val="Compact"/>
      </w:pPr>
      <w:r>
        <w:rPr>
          <w:bCs/>
          <w:b/>
        </w:rPr>
        <w:t xml:space="preserve">Logistics Efficiency:</w:t>
      </w:r>
      <w:r>
        <w:t xml:space="preserve"> </w:t>
      </w:r>
      <w:r>
        <w:t xml:space="preserve">Optimize transportation routes and modes, prioritizing lower-emission options like rail or sea freight where feasible for distribution to European markets, and optimize last-mile delivery.</w:t>
      </w:r>
    </w:p>
    <w:p>
      <w:r>
        <w:pict>
          <v:rect style="width:0;height:1.5pt" o:hralign="center" o:hrstd="t" o:hr="t"/>
        </w:pict>
      </w:r>
    </w:p>
    <w:p>
      <w:pPr>
        <w:pStyle w:val="FirstParagraph"/>
      </w:pPr>
      <w:r>
        <w:t xml:space="preserve">Confidential - Internal Use Only | Page</w:t>
      </w:r>
      <w:r>
        <w:t xml:space="preserve"> </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yjhsvglhwd</dc:title>
  <dc:creator/>
  <dc:description>Detailed Product Carbon Footprint (PCF) analysis for product yjhsvglhwd by tdegsiluyx, adhering to GHG Protocol standards and 2026 updates, conducted by zevznvmuej.</dc:description>
  <dc:language>en</dc:language>
  <cp:keywords/>
  <dcterms:created xsi:type="dcterms:W3CDTF">2026-07-15T01:33:23Z</dcterms:created>
  <dcterms:modified xsi:type="dcterms:W3CDTF">2026-07-15T01:33:23Z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