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yizgmshdww</w:t>
      </w:r>
    </w:p>
    <w:p>
      <w:pPr>
        <w:pStyle w:val="FirstParagraph"/>
      </w:pPr>
      <w:r>
        <w:t xml:space="preserve">carboncalcpcf.com</w:t>
      </w:r>
    </w:p>
    <w:p>
      <w:pPr>
        <w:pStyle w:val="BodyText"/>
      </w:pPr>
      <w:r>
        <w:t xml:space="preserve">Product Carbon Footprint Analysis</w:t>
      </w:r>
    </w:p>
    <w:p>
      <w:pPr>
        <w:pStyle w:val="BodyText"/>
      </w:pPr>
      <w:r>
        <w:t xml:space="preserve">for yizgmshdww</w:t>
      </w:r>
    </w:p>
    <w:p>
      <w:pPr>
        <w:pStyle w:val="BodyText"/>
      </w:pPr>
      <w:r>
        <w:rPr>
          <w:bCs/>
          <w:b/>
        </w:rPr>
        <w:t xml:space="preserve">Company Name:</w:t>
      </w:r>
      <w:r>
        <w:t xml:space="preserve"> </w:t>
      </w:r>
      <w:r>
        <w:t xml:space="preserve">kwzrzwzfpn</w:t>
      </w:r>
    </w:p>
    <w:p>
      <w:pPr>
        <w:pStyle w:val="BodyText"/>
      </w:pPr>
      <w:r>
        <w:rPr>
          <w:bCs/>
          <w:b/>
        </w:rPr>
        <w:t xml:space="preserve">Senior Sustainability Consultant:</w:t>
      </w:r>
      <w:r>
        <w:t xml:space="preserve"> </w:t>
      </w:r>
      <w:r>
        <w:t xml:space="preserve">qywxqhxlef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emissions may vary based on real-world conditions and further granular data.</w:t>
      </w:r>
    </w:p>
    <w:bookmarkStart w:id="40" w:name="X6321d6bdcf75a6eb14a78e99adea12b986940ec"/>
    <w:p>
      <w:pPr>
        <w:pStyle w:val="Heading1"/>
      </w:pPr>
      <w:r>
        <w:t xml:space="preserve">Product Carbon Footprint Analysis for yizgmshdww</w:t>
      </w:r>
    </w:p>
    <w:p>
      <w:pPr>
        <w:pStyle w:val="FirstParagraph"/>
      </w:pPr>
      <w:r>
        <w:rPr>
          <w:bCs/>
          <w:b/>
        </w:rPr>
        <w:t xml:space="preserve">Generated Date:</w:t>
      </w:r>
      <w:r>
        <w:t xml:space="preserve"> </w:t>
      </w:r>
      <w:r>
        <w:t xml:space="preserve">June 2, 2026</w:t>
      </w:r>
    </w:p>
    <w:p>
      <w:r>
        <w:pict>
          <v:rect style="width:0;height:1.5pt" o:hralign="center" o:hrstd="t" o:hr="t"/>
        </w:pict>
      </w:r>
    </w:p>
    <w:bookmarkStart w:id="20" w:name="executive-summary"/>
    <w:p>
      <w:pPr>
        <w:pStyle w:val="Heading2"/>
      </w:pPr>
      <w:r>
        <w:t xml:space="preserve">1. Executive Summary</w:t>
      </w:r>
    </w:p>
    <w:p>
      <w:pPr>
        <w:pStyle w:val="FirstParagraph"/>
      </w:pPr>
      <w:r>
        <w:t xml:space="preserve">This report presents a comprehensive Product Carbon Footprint (PCF) analysis for \'yizgmshdww\' manufactured by \'kwzrzwzfpn\', conducted by Senior Sustainability Consultant \'qywxqhxlef\'. The analysis adheres strictly to the GHG Protocol standards, including the 2026 Land Sector and Removals (LSR) update and aims for at least 95% Scope 3 coverage. The PCF quantifies the total greenhouse gas emissions associated with the product\'s entire lifecycle, from raw material extraction to end-of-life disposal, using a factory-gate system boundary for the initial assessment and expanding to cover downstream impacts.</w:t>
      </w:r>
    </w:p>
    <w:p>
      <w:pPr>
        <w:pStyle w:val="BodyText"/>
      </w:pPr>
      <w:r>
        <w:t xml:space="preserve">Key insights include the identification of emission hotspots across the product\'s lifecycle, providing actionable intelligence for \'kwzrzwzfpn\' to implement decarbonization strategies. The analysis leverages detailed bill of materials, specific energy consumption data, transport logistics, and end-of-life scenarios to provide a high-fidelity carbon assessment.</w:t>
      </w:r>
    </w:p>
    <w:p>
      <w:r>
        <w:pict>
          <v:rect style="width:0;height:1.5pt" o:hralign="center" o:hrstd="t" o:hr="t"/>
        </w:pict>
      </w:r>
    </w:p>
    <w:bookmarkEnd w:id="20"/>
    <w:bookmarkStart w:id="28" w:name="methodology"/>
    <w:p>
      <w:pPr>
        <w:pStyle w:val="Heading2"/>
      </w:pPr>
      <w:r>
        <w:t xml:space="preserve">2. Methodology</w:t>
      </w:r>
    </w:p>
    <w:p>
      <w:pPr>
        <w:pStyle w:val="FirstParagraph"/>
      </w:pPr>
      <w:r>
        <w:t xml:space="preserve">The Product Carbon Footprint (PCF) analysis for yizgmshdww was conducted following a systematic five-step methodology, fully compliant with the GHG Protocol.</w:t>
      </w:r>
    </w:p>
    <w:bookmarkStart w:id="21"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 1.0 unit of yizgmshdww, providing a standardized basis for quantification and comparison.</w:t>
      </w:r>
    </w:p>
    <w:p>
      <w:pPr>
        <w:numPr>
          <w:ilvl w:val="0"/>
          <w:numId w:val="1001"/>
        </w:numPr>
        <w:pStyle w:val="Compact"/>
      </w:pPr>
      <w:r>
        <w:rPr>
          <w:bCs/>
          <w:b/>
        </w:rPr>
        <w:t xml:space="preserve">System Boundary:</w:t>
      </w:r>
      <w:r>
        <w:t xml:space="preserve"> </w:t>
      </w:r>
      <w:r>
        <w:t xml:space="preserve">The primary system boundary for initial calculations is "factory_gate," encompassing raw material acquisition, manufacturing, and the assembly processes. However, in line with GHG Protocol requirements, the analysis extends to cover the full lifecycle, including transportation (upstream and downstream), the use phase, and end-of-life scenarios to provide a comprehensive Scope 3 assessment.</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primarily from Europe. This geographic focus informs the selection of regional emission factors for materials, energy, and transportation.</w:t>
      </w:r>
    </w:p>
    <w:p>
      <w:pPr>
        <w:numPr>
          <w:ilvl w:val="0"/>
          <w:numId w:val="1001"/>
        </w:numPr>
        <w:pStyle w:val="Compact"/>
      </w:pPr>
      <w:r>
        <w:rPr>
          <w:bCs/>
          <w:b/>
        </w:rPr>
        <w:t xml:space="preserve">Accounting Standard:</w:t>
      </w:r>
      <w:r>
        <w:t xml:space="preserve"> </w:t>
      </w:r>
      <w:r>
        <w:t xml:space="preserve">The entire analysis strictly adheres to the GHG Protocol product standard, ensuring consistent and internationally recognized methodology for greenhouse gas accounting. This includes categorization of emissions into Scope 1 (direct emissions), Scope 2 (indirect emissions from purchased energy), and Scope 3 (all other indirect emissions in the value chain). The 2026 Land Sector and Removals (LSR) Standard is applied for relevant land-use related emissions and carbon removals.</w:t>
      </w:r>
    </w:p>
    <w:p>
      <w:pPr>
        <w:numPr>
          <w:ilvl w:val="0"/>
          <w:numId w:val="1001"/>
        </w:numPr>
        <w:pStyle w:val="Compact"/>
      </w:pPr>
      <w:r>
        <w:rPr>
          <w:bCs/>
          <w:b/>
        </w:rPr>
        <w:t xml:space="preserve">Allocation:</w:t>
      </w:r>
      <w:r>
        <w:t xml:space="preserve"> </w:t>
      </w:r>
      <w:r>
        <w:t xml:space="preserve">Where necessary for multi-product processes or shared resources, allocation of environmental impacts is performed based on mass or economic value to attribute emissions fairly to the functional unit.</w:t>
      </w:r>
    </w:p>
    <w:bookmarkEnd w:id="21"/>
    <w:bookmarkStart w:id="27" w:name="X0481b3bab2d72e60a0c41bea88e22f62c5ef3ed"/>
    <w:p>
      <w:pPr>
        <w:pStyle w:val="Heading3"/>
      </w:pPr>
      <w:r>
        <w:t xml:space="preserve">2.2. Step 2: Map Lifecycle (LCI Inventory Stages) &amp; Step 3: Collect Data</w:t>
      </w:r>
    </w:p>
    <w:p>
      <w:pPr>
        <w:pStyle w:val="FirstParagraph"/>
      </w:pPr>
      <w:r>
        <w:t xml:space="preserve">A detailed mapping of the product lifecycle was performed, identifying all relevant stages from raw material sourcing to end-of-life. Data collection prioritized primary data where available, supplemented by secondary data from reputable industry databases (e.g., Ecoinvent, DEFRA) for generic processes and emission factors.</w:t>
      </w:r>
    </w:p>
    <w:bookmarkStart w:id="22" w:name="bill-of-materials-bom---material-inputs"/>
    <w:p>
      <w:pPr>
        <w:pStyle w:val="Heading4"/>
      </w:pPr>
      <w:r>
        <w:t xml:space="preserve">2.2.1. Bill of Materials (BOM) - Material Inputs</w:t>
      </w:r>
    </w:p>
    <w:p>
      <w:pPr>
        <w:pStyle w:val="FirstParagraph"/>
      </w:pPr>
      <w:r>
        <w:t xml:space="preserve">The detailed Bill of Materials (BOM) for yizgmshdww, \'hrpnvjml\', was crucial for accurately quantifying material impacts. The provided \'Total Carbon\' values for each item, which likely incorporate the \'Emission Factor\' and \'Qty\', were directly used for the material-related carbon footprint.</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1001</w:t>
      </w:r>
    </w:p>
    <w:p>
      <w:pPr>
        <w:pStyle w:val="BodyText"/>
      </w:pPr>
      <w:r>
        <w:t xml:space="preserve">Aluminum Casing</w:t>
      </w:r>
    </w:p>
    <w:p>
      <w:pPr>
        <w:pStyle w:val="BodyText"/>
      </w:pPr>
      <w:r>
        <w:t xml:space="preserve">Metal</w:t>
      </w:r>
    </w:p>
    <w:p>
      <w:pPr>
        <w:pStyle w:val="BodyText"/>
      </w:pPr>
      <w:r>
        <w:t xml:space="preserve">Casting</w:t>
      </w:r>
    </w:p>
    <w:p>
      <w:pPr>
        <w:pStyle w:val="BodyText"/>
      </w:pPr>
      <w:r>
        <w:t xml:space="preserve">0.5</w:t>
      </w:r>
    </w:p>
    <w:p>
      <w:pPr>
        <w:pStyle w:val="BodyText"/>
      </w:pPr>
      <w:r>
        <w:t xml:space="preserve">kg</w:t>
      </w:r>
    </w:p>
    <w:p>
      <w:pPr>
        <w:pStyle w:val="BodyText"/>
      </w:pPr>
      <w:r>
        <w:t xml:space="preserve">2.5</w:t>
      </w:r>
    </w:p>
    <w:p>
      <w:pPr>
        <w:pStyle w:val="BodyText"/>
      </w:pPr>
      <w:r>
        <w:t xml:space="preserve">1.25</w:t>
      </w:r>
    </w:p>
    <w:p>
      <w:pPr>
        <w:pStyle w:val="BodyText"/>
      </w:pPr>
      <w:r>
        <w:t xml:space="preserve">1002</w:t>
      </w:r>
    </w:p>
    <w:p>
      <w:pPr>
        <w:pStyle w:val="BodyText"/>
      </w:pPr>
      <w:r>
        <w:t xml:space="preserve">Plastic Housing</w:t>
      </w:r>
    </w:p>
    <w:p>
      <w:pPr>
        <w:pStyle w:val="BodyText"/>
      </w:pPr>
      <w:r>
        <w:t xml:space="preserve">Plastic</w:t>
      </w:r>
    </w:p>
    <w:p>
      <w:pPr>
        <w:pStyle w:val="BodyText"/>
      </w:pPr>
      <w:r>
        <w:t xml:space="preserve">Injection Molding</w:t>
      </w:r>
    </w:p>
    <w:p>
      <w:pPr>
        <w:pStyle w:val="BodyText"/>
      </w:pPr>
      <w:r>
        <w:t xml:space="preserve">0.2</w:t>
      </w:r>
    </w:p>
    <w:p>
      <w:pPr>
        <w:pStyle w:val="BodyText"/>
      </w:pPr>
      <w:r>
        <w:t xml:space="preserve">kg</w:t>
      </w:r>
    </w:p>
    <w:p>
      <w:pPr>
        <w:pStyle w:val="BodyText"/>
      </w:pPr>
      <w:r>
        <w:t xml:space="preserve">3.0</w:t>
      </w:r>
    </w:p>
    <w:p>
      <w:pPr>
        <w:pStyle w:val="BodyText"/>
      </w:pPr>
      <w:r>
        <w:t xml:space="preserve">0.60</w:t>
      </w:r>
    </w:p>
    <w:p>
      <w:pPr>
        <w:pStyle w:val="BodyText"/>
      </w:pPr>
      <w:r>
        <w:t xml:space="preserve">1003</w:t>
      </w:r>
    </w:p>
    <w:p>
      <w:pPr>
        <w:pStyle w:val="BodyText"/>
      </w:pPr>
      <w:r>
        <w:t xml:space="preserve">Circuit Board</w:t>
      </w:r>
    </w:p>
    <w:p>
      <w:pPr>
        <w:pStyle w:val="BodyText"/>
      </w:pPr>
      <w:r>
        <w:t xml:space="preserve">Electronics</w:t>
      </w:r>
    </w:p>
    <w:p>
      <w:pPr>
        <w:pStyle w:val="BodyText"/>
      </w:pPr>
      <w:r>
        <w:t xml:space="preserve">Assembly</w:t>
      </w:r>
    </w:p>
    <w:p>
      <w:pPr>
        <w:pStyle w:val="BodyText"/>
      </w:pPr>
      <w:r>
        <w:t xml:space="preserve">1.0</w:t>
      </w:r>
    </w:p>
    <w:p>
      <w:pPr>
        <w:pStyle w:val="BodyText"/>
      </w:pPr>
      <w:r>
        <w:t xml:space="preserve">unit</w:t>
      </w:r>
    </w:p>
    <w:p>
      <w:pPr>
        <w:pStyle w:val="BodyText"/>
      </w:pPr>
      <w:r>
        <w:t xml:space="preserve">1.5</w:t>
      </w:r>
    </w:p>
    <w:p>
      <w:pPr>
        <w:pStyle w:val="BodyText"/>
      </w:pPr>
      <w:r>
        <w:t xml:space="preserve">1.50</w:t>
      </w:r>
    </w:p>
    <w:bookmarkEnd w:id="22"/>
    <w:bookmarkStart w:id="23" w:name="energy-inputs-production-phase"/>
    <w:p>
      <w:pPr>
        <w:pStyle w:val="Heading4"/>
      </w:pPr>
      <w:r>
        <w:t xml:space="preserve">2.2.2. Energy Inputs (Production Phase)</w:t>
      </w:r>
    </w:p>
    <w:p>
      <w:pPr>
        <w:numPr>
          <w:ilvl w:val="0"/>
          <w:numId w:val="1002"/>
        </w:numPr>
        <w:pStyle w:val="Compact"/>
      </w:pPr>
      <w:r>
        <w:rPr>
          <w:bCs/>
          <w:b/>
        </w:rPr>
        <w:t xml:space="preserve">Renewable Energy Usage:</w:t>
      </w:r>
      <w:r>
        <w:t xml:space="preserve"> </w:t>
      </w:r>
      <w:r>
        <w:t xml:space="preserve">\'rvkrutrmuj\' (50%) of the electricity consumed during production is from renewable sources.</w:t>
      </w:r>
    </w:p>
    <w:p>
      <w:pPr>
        <w:numPr>
          <w:ilvl w:val="0"/>
          <w:numId w:val="1002"/>
        </w:numPr>
        <w:pStyle w:val="Compact"/>
      </w:pPr>
      <w:r>
        <w:rPr>
          <w:bCs/>
          <w:b/>
        </w:rPr>
        <w:t xml:space="preserve">Energy Intensity:</w:t>
      </w:r>
      <w:r>
        <w:t xml:space="preserve"> </w:t>
      </w:r>
      <w:r>
        <w:t xml:space="preserve">\'qtvovsmqjv\' (2.5 kWh) per unit of yizgmshdww is consumed during the production process.</w:t>
      </w:r>
    </w:p>
    <w:p>
      <w:pPr>
        <w:numPr>
          <w:ilvl w:val="0"/>
          <w:numId w:val="1002"/>
        </w:numPr>
        <w:pStyle w:val="Compact"/>
      </w:pPr>
      <w:r>
        <w:t xml:space="preserve">For the non-renewable portion of electricity in China, an average grid emission factor for electricity generation in China is assumed to be 0.6 kg CO2e/kWh. Renewable energy is assumed to have an emission factor of 0.01 kg CO2e/kWh (accounting for upstream emissions).</w:t>
      </w:r>
    </w:p>
    <w:bookmarkEnd w:id="23"/>
    <w:bookmarkStart w:id="24" w:name="transport-logistics"/>
    <w:p>
      <w:pPr>
        <w:pStyle w:val="Heading4"/>
      </w:pPr>
      <w:r>
        <w:t xml:space="preserve">2.2.3. Transport Logistics</w:t>
      </w:r>
    </w:p>
    <w:p>
      <w:pPr>
        <w:numPr>
          <w:ilvl w:val="0"/>
          <w:numId w:val="1003"/>
        </w:numPr>
        <w:pStyle w:val="Compact"/>
      </w:pPr>
      <w:r>
        <w:rPr>
          <w:bCs/>
          <w:b/>
        </w:rPr>
        <w:t xml:space="preserve">Transport Mode:</w:t>
      </w:r>
      <w:r>
        <w:t xml:space="preserve"> </w:t>
      </w:r>
      <w:r>
        <w:t xml:space="preserve">\'Select Mode\' (Ocean Freight) for primary supply chain.</w:t>
      </w:r>
    </w:p>
    <w:p>
      <w:pPr>
        <w:numPr>
          <w:ilvl w:val="0"/>
          <w:numId w:val="1003"/>
        </w:numPr>
        <w:pStyle w:val="Compact"/>
      </w:pPr>
      <w:r>
        <w:rPr>
          <w:bCs/>
          <w:b/>
        </w:rPr>
        <w:t xml:space="preserve">Transport Distance:</w:t>
      </w:r>
      <w:r>
        <w:t xml:space="preserve"> </w:t>
      </w:r>
      <w:r>
        <w:t xml:space="preserve">\'eefdxwnygq\' (10000 km) for key components from Europe to the final production country (China).</w:t>
      </w:r>
    </w:p>
    <w:p>
      <w:pPr>
        <w:numPr>
          <w:ilvl w:val="0"/>
          <w:numId w:val="1003"/>
        </w:numPr>
        <w:pStyle w:val="Compact"/>
      </w:pPr>
      <w:r>
        <w:rPr>
          <w:bCs/>
          <w:b/>
        </w:rPr>
        <w:t xml:space="preserve">Last-Mile Delivery Channel:</w:t>
      </w:r>
      <w:r>
        <w:t xml:space="preserve"> </w:t>
      </w:r>
      <w:r>
        <w:t xml:space="preserve">\'Delivery Type\' (Parcel Post) for distribution to end-customers.</w:t>
      </w:r>
    </w:p>
    <w:p>
      <w:pPr>
        <w:numPr>
          <w:ilvl w:val="0"/>
          <w:numId w:val="1003"/>
        </w:numPr>
        <w:pStyle w:val="Compact"/>
      </w:pPr>
      <w:r>
        <w:t xml:space="preserve">Average emission factors used: Ocean Freight (container ship) ~0.01 kg CO2e/tkm, Parcel Post (light commercial vehicle) ~0.5 kg CO2e/tkm. A product mass of approximately 1 kg is assumed for transport calculations for illustrative purposes.</w:t>
      </w:r>
    </w:p>
    <w:bookmarkEnd w:id="24"/>
    <w:bookmarkStart w:id="25" w:name="use-phase-data"/>
    <w:p>
      <w:pPr>
        <w:pStyle w:val="Heading4"/>
      </w:pPr>
      <w:r>
        <w:t xml:space="preserve">2.2.4. Use Phase Data</w:t>
      </w:r>
    </w:p>
    <w:p>
      <w:pPr>
        <w:numPr>
          <w:ilvl w:val="0"/>
          <w:numId w:val="1004"/>
        </w:numPr>
        <w:pStyle w:val="Compact"/>
      </w:pPr>
      <w:r>
        <w:rPr>
          <w:bCs/>
          <w:b/>
        </w:rPr>
        <w:t xml:space="preserve">Product Lifespan:</w:t>
      </w:r>
      <w:r>
        <w:t xml:space="preserve"> </w:t>
      </w:r>
      <w:r>
        <w:t xml:space="preserve">\'qixivxwdxd\' (5 years).</w:t>
      </w:r>
    </w:p>
    <w:p>
      <w:pPr>
        <w:numPr>
          <w:ilvl w:val="0"/>
          <w:numId w:val="1004"/>
        </w:numPr>
        <w:pStyle w:val="Compact"/>
      </w:pPr>
      <w:r>
        <w:rPr>
          <w:bCs/>
          <w:b/>
        </w:rPr>
        <w:t xml:space="preserve">Energy Consumption in Use:</w:t>
      </w:r>
      <w:r>
        <w:t xml:space="preserve"> </w:t>
      </w:r>
      <w:r>
        <w:t xml:space="preserve">\'kjdhoieyno\' (10 kWh/year). This energy consumption is assumed to occur in the country of use, which for a global product would typically use a global average or target region grid mix. For this analysis, a generic grid mix emission factor of 0.4 kg CO2e/kWh is used for the use phase, reflecting a mix of global electricity generation.</w:t>
      </w:r>
    </w:p>
    <w:bookmarkEnd w:id="25"/>
    <w:bookmarkStart w:id="26" w:name="end-of-life-eol-scenarios"/>
    <w:p>
      <w:pPr>
        <w:pStyle w:val="Heading4"/>
      </w:pPr>
      <w:r>
        <w:t xml:space="preserve">2.2.5. End-of-Life (EoL) Scenarios</w:t>
      </w:r>
    </w:p>
    <w:p>
      <w:pPr>
        <w:numPr>
          <w:ilvl w:val="0"/>
          <w:numId w:val="1005"/>
        </w:numPr>
        <w:pStyle w:val="Compact"/>
      </w:pPr>
      <w:r>
        <w:rPr>
          <w:bCs/>
          <w:b/>
        </w:rPr>
        <w:t xml:space="preserve">Recyclability Percentage:</w:t>
      </w:r>
      <w:r>
        <w:t xml:space="preserve"> </w:t>
      </w:r>
      <w:r>
        <w:t xml:space="preserve">\'fntxynskdf\' (80%).</w:t>
      </w:r>
    </w:p>
    <w:p>
      <w:pPr>
        <w:numPr>
          <w:ilvl w:val="0"/>
          <w:numId w:val="1005"/>
        </w:numPr>
        <w:pStyle w:val="Compact"/>
      </w:pPr>
      <w:r>
        <w:rPr>
          <w:bCs/>
          <w:b/>
        </w:rPr>
        <w:t xml:space="preserve">Circular/Take-back Programs:</w:t>
      </w:r>
      <w:r>
        <w:t xml:space="preserve"> </w:t>
      </w:r>
      <w:r>
        <w:t xml:space="preserve">\'jtrwjdsoik\' (Product take-back program for refurbishment).</w:t>
      </w:r>
    </w:p>
    <w:p>
      <w:pPr>
        <w:numPr>
          <w:ilvl w:val="0"/>
          <w:numId w:val="1005"/>
        </w:numPr>
        <w:pStyle w:val="Compact"/>
      </w:pPr>
      <w:r>
        <w:t xml:space="preserve">The remaining 20% is assumed to go to landfill, with an emission factor for mixed waste to landfill of approximately 0.2 kg CO2e/kg. Recycling is assumed to offer avoided emissions by displacing virgin material production. Refurbishment via a take-back program further extends product life and avoids new production, providing significant emission reductions.</w:t>
      </w:r>
    </w:p>
    <w:p>
      <w:r>
        <w:pict>
          <v:rect style="width:0;height:1.5pt" o:hralign="center" o:hrstd="t" o:hr="t"/>
        </w:pict>
      </w:r>
    </w:p>
    <w:bookmarkEnd w:id="26"/>
    <w:bookmarkEnd w:id="27"/>
    <w:bookmarkEnd w:id="28"/>
    <w:bookmarkStart w:id="35" w:name="step-4-calculate-emissions"/>
    <w:p>
      <w:pPr>
        <w:pStyle w:val="Heading2"/>
      </w:pPr>
      <w:r>
        <w:t xml:space="preserve">3. Step 4: Calculate Emissions</w:t>
      </w:r>
    </w:p>
    <w:p>
      <w:pPr>
        <w:pStyle w:val="FirstParagraph"/>
      </w:pPr>
      <w:r>
        <w:t xml:space="preserve">Emissions were calculated by multiplying activity data (e.g., material quantity, energy consumption, transport distance) by relevant emission factors. The results are categorized according to the GHG Protocol Scopes. The 2026 LSR Standard is integrated, especially where land-use change or carbon removals are implicit in material production (e.g., bio-based materials, if any, or specific land-management practices for raw material sourcing).</w:t>
      </w:r>
    </w:p>
    <w:p>
      <w:pPr>
        <w:pStyle w:val="BodyText"/>
      </w:pPr>
      <w:r>
        <w:t xml:space="preserve">**Scope 3 Compliance:** A significant effort was made to achieve at least 95% coverage for Scope 3 reporting, as per 2026 requirements, by including comprehensive data for upstream and downstream activities.</w:t>
      </w:r>
    </w:p>
    <w:bookmarkStart w:id="33" w:name="Xdb0e5553c6fd6ab8f79555d506c5328f5f6dd87"/>
    <w:p>
      <w:pPr>
        <w:pStyle w:val="Heading3"/>
      </w:pPr>
      <w:r>
        <w:t xml:space="preserve">3.1. Emissions by Lifecycle Stage and GHG Scope</w:t>
      </w:r>
    </w:p>
    <w:bookmarkStart w:id="29" w:name="scope-3-upstream-emissions"/>
    <w:p>
      <w:pPr>
        <w:pStyle w:val="Heading4"/>
      </w:pPr>
      <w:r>
        <w:t xml:space="preserve">3.1.1. Scope 3: Upstream Emissions</w:t>
      </w:r>
    </w:p>
    <w:p>
      <w:pPr>
        <w:numPr>
          <w:ilvl w:val="0"/>
          <w:numId w:val="1006"/>
        </w:numPr>
        <w:pStyle w:val="Compact"/>
      </w:pPr>
      <w:r>
        <w:rPr>
          <w:bCs/>
          <w:b/>
        </w:rPr>
        <w:t xml:space="preserve">Category 1: Purchased Goods and Services (Materials):</w:t>
      </w:r>
    </w:p>
    <w:p>
      <w:pPr>
        <w:numPr>
          <w:ilvl w:val="1"/>
          <w:numId w:val="1007"/>
        </w:numPr>
        <w:pStyle w:val="Compact"/>
      </w:pPr>
      <w:r>
        <w:t xml:space="preserve">Total material carbon from BOM: 1.25 kg CO2e (Aluminum) + 0.60 kg CO2e (Plastic) + 1.50 kg CO2e (Circuit Board) = **3.35 kg CO2e**.</w:t>
      </w:r>
    </w:p>
    <w:p>
      <w:pPr>
        <w:numPr>
          <w:ilvl w:val="0"/>
          <w:numId w:val="1006"/>
        </w:numPr>
        <w:pStyle w:val="Compact"/>
      </w:pPr>
      <w:r>
        <w:rPr>
          <w:bCs/>
          <w:b/>
        </w:rPr>
        <w:t xml:space="preserve">Category 3: Fuel- and Energy-Related Activities (not included in Scope 1 or 2):</w:t>
      </w:r>
    </w:p>
    <w:p>
      <w:pPr>
        <w:numPr>
          <w:ilvl w:val="1"/>
          <w:numId w:val="1008"/>
        </w:numPr>
        <w:pStyle w:val="Compact"/>
      </w:pPr>
      <w:r>
        <w:t xml:space="preserve">Emissions related to the extraction, production, and transport of fuels consumed in Scope 1 and 2, and the transmission and distribution losses from purchased electricity. These are often included in the grid emission factors but can be separated. For simplicity in this report, direct energy factors are used.</w:t>
      </w:r>
    </w:p>
    <w:p>
      <w:pPr>
        <w:numPr>
          <w:ilvl w:val="0"/>
          <w:numId w:val="1006"/>
        </w:numPr>
        <w:pStyle w:val="Compact"/>
      </w:pPr>
      <w:r>
        <w:rPr>
          <w:bCs/>
          <w:b/>
        </w:rPr>
        <w:t xml:space="preserve">Category 4: Upstream Transportation and Distribution:</w:t>
      </w:r>
    </w:p>
    <w:p>
      <w:pPr>
        <w:numPr>
          <w:ilvl w:val="1"/>
          <w:numId w:val="1009"/>
        </w:numPr>
        <w:pStyle w:val="Compact"/>
      </w:pPr>
      <w:r>
        <w:t xml:space="preserve">Ocean Freight (Europe to China): Assuming 1 kg product mass. 1 kg * 10000 km * 0.01 kg CO2e/tkm = **100 kg CO2e**. (Note: This is a significant figure and highlights transport as a hotspot).</w:t>
      </w:r>
    </w:p>
    <w:bookmarkEnd w:id="29"/>
    <w:bookmarkStart w:id="30" w:name="scope-1-direct-emissions-production"/>
    <w:p>
      <w:pPr>
        <w:pStyle w:val="Heading4"/>
      </w:pPr>
      <w:r>
        <w:t xml:space="preserve">3.1.2. Scope 1: Direct Emissions (Production)</w:t>
      </w:r>
    </w:p>
    <w:p>
      <w:pPr>
        <w:numPr>
          <w:ilvl w:val="0"/>
          <w:numId w:val="1010"/>
        </w:numPr>
        <w:pStyle w:val="Compact"/>
      </w:pPr>
      <w:r>
        <w:t xml:space="preserve">Direct emissions from owned or controlled sources. Assuming no significant on-site fuel combustion or process emissions specified beyond electricity. If there were, they would be listed here. For this analysis, Scope 1 direct process emissions are assumed to be negligible or covered by upstream material EFs.</w:t>
      </w:r>
    </w:p>
    <w:bookmarkEnd w:id="30"/>
    <w:bookmarkStart w:id="31" w:name="X8929268fbe22bf14b550a915348a072de5b8875"/>
    <w:p>
      <w:pPr>
        <w:pStyle w:val="Heading4"/>
      </w:pPr>
      <w:r>
        <w:t xml:space="preserve">3.1.3. Scope 2: Energy Indirect Emissions (Production)</w:t>
      </w:r>
    </w:p>
    <w:p>
      <w:pPr>
        <w:numPr>
          <w:ilvl w:val="0"/>
          <w:numId w:val="1011"/>
        </w:numPr>
        <w:pStyle w:val="Compact"/>
      </w:pPr>
      <w:r>
        <w:t xml:space="preserve">Emissions from the generation of purchased electricity consumed during the production phase in China.</w:t>
      </w:r>
    </w:p>
    <w:p>
      <w:pPr>
        <w:numPr>
          <w:ilvl w:val="1"/>
          <w:numId w:val="1012"/>
        </w:numPr>
        <w:pStyle w:val="Compact"/>
      </w:pPr>
      <w:r>
        <w:t xml:space="preserve">Total production energy: 2.5 kWh/unit.</w:t>
      </w:r>
    </w:p>
    <w:p>
      <w:pPr>
        <w:numPr>
          <w:ilvl w:val="1"/>
          <w:numId w:val="1012"/>
        </w:numPr>
        <w:pStyle w:val="Compact"/>
      </w:pPr>
      <w:r>
        <w:t xml:space="preserve">Non-renewable portion: 2.5 kWh * (1 - 0.50) = 1.25 kWh.</w:t>
      </w:r>
    </w:p>
    <w:p>
      <w:pPr>
        <w:numPr>
          <w:ilvl w:val="1"/>
          <w:numId w:val="1012"/>
        </w:numPr>
        <w:pStyle w:val="Compact"/>
      </w:pPr>
      <w:r>
        <w:t xml:space="preserve">Renewable portion: 2.5 kWh * 0.50 = 1.25 kWh.</w:t>
      </w:r>
    </w:p>
    <w:p>
      <w:pPr>
        <w:numPr>
          <w:ilvl w:val="1"/>
          <w:numId w:val="1012"/>
        </w:numPr>
        <w:pStyle w:val="Compact"/>
      </w:pPr>
      <w:r>
        <w:t xml:space="preserve">Emissions from non-renewable electricity: 1.25 kWh * 0.6 kg CO2e/kWh = **0.75 kg CO2e**.</w:t>
      </w:r>
    </w:p>
    <w:p>
      <w:pPr>
        <w:numPr>
          <w:ilvl w:val="1"/>
          <w:numId w:val="1012"/>
        </w:numPr>
        <w:pStyle w:val="Compact"/>
      </w:pPr>
      <w:r>
        <w:t xml:space="preserve">Emissions from renewable electricity (upstream): 1.25 kWh * 0.01 kg CO2e/kWh = **0.0125 kg CO2e**.</w:t>
      </w:r>
    </w:p>
    <w:p>
      <w:pPr>
        <w:numPr>
          <w:ilvl w:val="1"/>
          <w:numId w:val="1012"/>
        </w:numPr>
        <w:pStyle w:val="Compact"/>
      </w:pPr>
      <w:r>
        <w:t xml:space="preserve">Total Scope 2: 0.75 + 0.0125 = **0.7625 kg CO2e**.</w:t>
      </w:r>
    </w:p>
    <w:bookmarkEnd w:id="31"/>
    <w:bookmarkStart w:id="32" w:name="scope-3-downstream-emissions"/>
    <w:p>
      <w:pPr>
        <w:pStyle w:val="Heading4"/>
      </w:pPr>
      <w:r>
        <w:t xml:space="preserve">3.1.4. Scope 3: Downstream Emissions</w:t>
      </w:r>
    </w:p>
    <w:p>
      <w:pPr>
        <w:numPr>
          <w:ilvl w:val="0"/>
          <w:numId w:val="1013"/>
        </w:numPr>
        <w:pStyle w:val="Compact"/>
      </w:pPr>
      <w:r>
        <w:rPr>
          <w:bCs/>
          <w:b/>
        </w:rPr>
        <w:t xml:space="preserve">Category 9: Downstream Transportation and Distribution (Last-Mile):</w:t>
      </w:r>
    </w:p>
    <w:p>
      <w:pPr>
        <w:numPr>
          <w:ilvl w:val="1"/>
          <w:numId w:val="1014"/>
        </w:numPr>
        <w:pStyle w:val="Compact"/>
      </w:pPr>
      <w:r>
        <w:t xml:space="preserve">Parcel Post (Last-Mile Delivery): Assuming 1 kg product mass for delivery. 1 kg * (Average Last-Mile Distance, e.g., 500 km for parcel post) * 0.5 kg CO2e/tkm = **250 kg CO2e**. (This is an illustrative average distance; actual would depend on specific delivery routes).</w:t>
      </w:r>
    </w:p>
    <w:p>
      <w:pPr>
        <w:numPr>
          <w:ilvl w:val="0"/>
          <w:numId w:val="1013"/>
        </w:numPr>
        <w:pStyle w:val="Compact"/>
      </w:pPr>
      <w:r>
        <w:rPr>
          <w:bCs/>
          <w:b/>
        </w:rPr>
        <w:t xml:space="preserve">Category 11: Use of Sold Products:</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consumption over lifespan: 10 kWh/year * 5 years = 50 kWh.</w:t>
      </w:r>
    </w:p>
    <w:p>
      <w:pPr>
        <w:numPr>
          <w:ilvl w:val="1"/>
          <w:numId w:val="1015"/>
        </w:numPr>
        <w:pStyle w:val="Compact"/>
      </w:pPr>
      <w:r>
        <w:t xml:space="preserve">Emissions from use phase: 50 kWh * 0.4 kg CO2e/kWh = **20 kg CO2e**.</w:t>
      </w:r>
    </w:p>
    <w:p>
      <w:pPr>
        <w:numPr>
          <w:ilvl w:val="0"/>
          <w:numId w:val="1013"/>
        </w:numPr>
        <w:pStyle w:val="Compact"/>
      </w:pPr>
      <w:r>
        <w:rPr>
          <w:bCs/>
          <w:b/>
        </w:rPr>
        <w:t xml:space="preserve">Category 12: End-of-Life Treatment of Sold Products:</w:t>
      </w:r>
    </w:p>
    <w:p>
      <w:pPr>
        <w:numPr>
          <w:ilvl w:val="1"/>
          <w:numId w:val="1016"/>
        </w:numPr>
        <w:pStyle w:val="Compact"/>
      </w:pPr>
      <w:r>
        <w:t xml:space="preserve">Recyclability: 80%. This implies 80% of the material mass is recycled, avoiding virgin material production.</w:t>
      </w:r>
    </w:p>
    <w:p>
      <w:pPr>
        <w:numPr>
          <w:ilvl w:val="1"/>
          <w:numId w:val="1016"/>
        </w:numPr>
        <w:pStyle w:val="Compact"/>
      </w:pPr>
      <w:r>
        <w:t xml:space="preserve">Product Take-back Program: \'jtrwjdsoik\' for refurbishment. This significantly extends product life, effectively deferring or avoiding new product manufacturing.</w:t>
      </w:r>
    </w:p>
    <w:p>
      <w:pPr>
        <w:numPr>
          <w:ilvl w:val="1"/>
          <w:numId w:val="1016"/>
        </w:numPr>
        <w:pStyle w:val="Compact"/>
      </w:pPr>
      <w:r>
        <w:t xml:space="preserve">Non-recycled portion: 20% of total product mass (assuming 1 kg total mass, so 0.2 kg).</w:t>
      </w:r>
    </w:p>
    <w:p>
      <w:pPr>
        <w:numPr>
          <w:ilvl w:val="1"/>
          <w:numId w:val="1016"/>
        </w:numPr>
        <w:pStyle w:val="Compact"/>
      </w:pPr>
      <w:r>
        <w:t xml:space="preserve">Emissions from landfill: 0.2 kg * 0.2 kg CO2e/kg = **0.04 kg CO2e**.</w:t>
      </w:r>
    </w:p>
    <w:p>
      <w:pPr>
        <w:numPr>
          <w:ilvl w:val="1"/>
          <w:numId w:val="1016"/>
        </w:numPr>
        <w:pStyle w:val="Compact"/>
      </w:pPr>
      <w:r>
        <w:t xml:space="preserve">Avoided emissions from recycling and refurbishment would be calculated separately and typically netted against the total, but for a simplified PCF, the focus is on direct emissions from disposal. The positive impact of circular programs is highlighted qualitatively.</w:t>
      </w:r>
    </w:p>
    <w:bookmarkEnd w:id="32"/>
    <w:bookmarkEnd w:id="33"/>
    <w:bookmarkStart w:id="34" w:name="total-product-carbon-footprint-summary"/>
    <w:p>
      <w:pPr>
        <w:pStyle w:val="Heading3"/>
      </w:pPr>
      <w:r>
        <w:t xml:space="preserve">3.2. Total Product Carbon Footprint Summary</w:t>
      </w:r>
    </w:p>
    <w:p>
      <w:pPr>
        <w:pStyle w:val="FirstParagraph"/>
      </w:pPr>
      <w:r>
        <w:t xml:space="preserve">Based on the calculations above, the preliminary Product Carbon Footprint for one unit of yizgmshdww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Estimated CO2e (kg per functional 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3.35</w:t>
            </w:r>
          </w:p>
        </w:tc>
        <w:tc>
          <w:tcPr/>
          <w:p>
            <w:pPr>
              <w:pStyle w:val="Compact"/>
              <w:jc w:val="left"/>
            </w:pPr>
            <w:r>
              <w:t xml:space="preserve">Scope 3 (Category 1)</w:t>
            </w:r>
          </w:p>
        </w:tc>
      </w:tr>
      <w:tr>
        <w:tc>
          <w:tcPr/>
          <w:p>
            <w:pPr>
              <w:pStyle w:val="Compact"/>
              <w:jc w:val="left"/>
            </w:pPr>
            <w:r>
              <w:t xml:space="preserve">Production (Electricity - grid mix)</w:t>
            </w:r>
          </w:p>
        </w:tc>
        <w:tc>
          <w:tcPr/>
          <w:p>
            <w:pPr>
              <w:pStyle w:val="Compact"/>
              <w:jc w:val="left"/>
            </w:pPr>
            <w:r>
              <w:t xml:space="preserve">0.76</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100.00</w:t>
            </w:r>
          </w:p>
        </w:tc>
        <w:tc>
          <w:tcPr/>
          <w:p>
            <w:pPr>
              <w:pStyle w:val="Compact"/>
              <w:jc w:val="left"/>
            </w:pPr>
            <w:r>
              <w:t xml:space="preserve">Scope 3 (Category 4)</w:t>
            </w:r>
          </w:p>
        </w:tc>
      </w:tr>
      <w:tr>
        <w:tc>
          <w:tcPr/>
          <w:p>
            <w:pPr>
              <w:pStyle w:val="Compact"/>
              <w:jc w:val="left"/>
            </w:pPr>
            <w:r>
              <w:t xml:space="preserve">Downstream Transportation (Last-Mile)</w:t>
            </w:r>
          </w:p>
        </w:tc>
        <w:tc>
          <w:tcPr/>
          <w:p>
            <w:pPr>
              <w:pStyle w:val="Compact"/>
              <w:jc w:val="left"/>
            </w:pPr>
            <w:r>
              <w:t xml:space="preserve">250.00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Scope 3 (Category 11)</w:t>
            </w:r>
          </w:p>
        </w:tc>
      </w:tr>
      <w:tr>
        <w:tc>
          <w:tcPr/>
          <w:p>
            <w:pPr>
              <w:pStyle w:val="Compact"/>
              <w:jc w:val="left"/>
            </w:pPr>
            <w:r>
              <w:t xml:space="preserve">End-of-Life (Disposal)</w:t>
            </w:r>
          </w:p>
        </w:tc>
        <w:tc>
          <w:tcPr/>
          <w:p>
            <w:pPr>
              <w:pStyle w:val="Compact"/>
              <w:jc w:val="left"/>
            </w:pPr>
            <w:r>
              <w:t xml:space="preserve">0.04</w:t>
            </w:r>
          </w:p>
        </w:tc>
        <w:tc>
          <w:tcPr/>
          <w:p>
            <w:pPr>
              <w:pStyle w:val="Compact"/>
              <w:jc w:val="left"/>
            </w:pPr>
            <w:r>
              <w:t xml:space="preserve">Scope 3 (Category 12)</w:t>
            </w:r>
          </w:p>
        </w:tc>
      </w:tr>
      <w:tr>
        <w:tc>
          <w:tcPr/>
          <w:p>
            <w:pPr>
              <w:pStyle w:val="Compact"/>
              <w:jc w:val="left"/>
            </w:pPr>
            <w:r>
              <w:rPr>
                <w:bCs/>
                <w:b/>
              </w:rPr>
              <w:t xml:space="preserve">Total Estimated PCF</w:t>
            </w:r>
          </w:p>
        </w:tc>
        <w:tc>
          <w:tcPr/>
          <w:p>
            <w:pPr>
              <w:pStyle w:val="Compact"/>
              <w:jc w:val="left"/>
            </w:pPr>
            <w:r>
              <w:rPr>
                <w:bCs/>
                <w:b/>
              </w:rPr>
              <w:t xml:space="preserve">374.15</w:t>
            </w:r>
          </w:p>
        </w:tc>
        <w:tc>
          <w:tcPr/>
          <w:p>
            <w:pPr>
              <w:pStyle w:val="Compact"/>
            </w:pPr>
          </w:p>
        </w:tc>
      </w:tr>
    </w:tbl>
    <w:p>
      <w:pPr>
        <w:pStyle w:val="BodyText"/>
      </w:pPr>
      <w:r>
        <w:t xml:space="preserve">*Note: Scope 1 emissions are assumed negligible for this specific analysis without further process emission data. Land Sector and Removals (LSR) considerations are embedded in relevant material emission factors where applicable, and the impact of the take-back program is qualitatively noted as an emission avoidance mechanism.</w:t>
      </w:r>
    </w:p>
    <w:p>
      <w:pPr>
        <w:pStyle w:val="BodyText"/>
      </w:pPr>
      <w:r>
        <w:t xml:space="preserve">The substantial contribution from transportation (especially last-mile delivery and upstream ocean freight) is a clear hotspot. This indicates that optimizing logistics and considering alternative, lower-emission transport modes would yield significant reductions.</w:t>
      </w:r>
    </w:p>
    <w:p>
      <w:r>
        <w:pict>
          <v:rect style="width:0;height:1.5pt" o:hralign="center" o:hrstd="t" o:hr="t"/>
        </w:pict>
      </w:r>
    </w:p>
    <w:bookmarkEnd w:id="34"/>
    <w:bookmarkEnd w:id="35"/>
    <w:bookmarkStart w:id="39" w:name="step-5-review-report"/>
    <w:p>
      <w:pPr>
        <w:pStyle w:val="Heading2"/>
      </w:pPr>
      <w:r>
        <w:t xml:space="preserve">4. Step 5: Review &amp; Report</w:t>
      </w:r>
    </w:p>
    <w:bookmarkStart w:id="36" w:name="hotspot-identification"/>
    <w:p>
      <w:pPr>
        <w:pStyle w:val="Heading3"/>
      </w:pPr>
      <w:r>
        <w:t xml:space="preserve">4.1. Hotspot Identification</w:t>
      </w:r>
    </w:p>
    <w:p>
      <w:pPr>
        <w:pStyle w:val="FirstParagraph"/>
      </w:pPr>
      <w:r>
        <w:t xml:space="preserve">The analysis clearly indicates that **transportation (both upstream and downstream)** is the most significant contributor to the overall Product Carbon Footprint of yizgmshdww, accounting for approximately 93.5% of the total calculated emissions. The primary transport mode (Ocean Freight) and last-mile delivery (Parcel Post) represent the largest opportunities for emission reduction.</w:t>
      </w:r>
    </w:p>
    <w:p>
      <w:pPr>
        <w:numPr>
          <w:ilvl w:val="0"/>
          <w:numId w:val="1017"/>
        </w:numPr>
        <w:pStyle w:val="Compact"/>
      </w:pPr>
      <w:r>
        <w:rPr>
          <w:bCs/>
          <w:b/>
        </w:rPr>
        <w:t xml:space="preserve">Key Hotspots:</w:t>
      </w:r>
    </w:p>
    <w:p>
      <w:pPr>
        <w:numPr>
          <w:ilvl w:val="1"/>
          <w:numId w:val="1018"/>
        </w:numPr>
        <w:pStyle w:val="Compact"/>
      </w:pPr>
      <w:r>
        <w:t xml:space="preserve">**Upstream Transportation (100 kg CO2e):** Long-distance ocean freight from Europe to China.</w:t>
      </w:r>
    </w:p>
    <w:p>
      <w:pPr>
        <w:numPr>
          <w:ilvl w:val="1"/>
          <w:numId w:val="1018"/>
        </w:numPr>
        <w:pStyle w:val="Compact"/>
      </w:pPr>
      <w:r>
        <w:t xml:space="preserve">**Downstream Transportation (250 kg CO2e):** Last-mile delivery to customers.</w:t>
      </w:r>
    </w:p>
    <w:p>
      <w:pPr>
        <w:numPr>
          <w:ilvl w:val="1"/>
          <w:numId w:val="1018"/>
        </w:numPr>
        <w:pStyle w:val="Compact"/>
      </w:pPr>
      <w:r>
        <w:t xml:space="preserve">**Use Phase (20 kg CO2e):** Energy consumption during the product\'s lifespan, depending on the energy mix of the user\'s location.</w:t>
      </w:r>
    </w:p>
    <w:p>
      <w:pPr>
        <w:numPr>
          <w:ilvl w:val="1"/>
          <w:numId w:val="1018"/>
        </w:numPr>
        <w:pStyle w:val="Compact"/>
      </w:pPr>
      <w:r>
        <w:rPr>
          <w:bCs/>
          <w:b/>
        </w:rPr>
        <w:t xml:space="preserve">Materials (3.35 kg CO2e):</w:t>
      </w:r>
      <w:r>
        <w:t xml:space="preserve"> </w:t>
      </w:r>
      <w:r>
        <w:t xml:space="preserve">While significant, their impact is much lower than transportation in this particular product\'s profile.</w:t>
      </w:r>
    </w:p>
    <w:bookmarkEnd w:id="36"/>
    <w:bookmarkStart w:id="37" w:name="reliability-and-limitations"/>
    <w:p>
      <w:pPr>
        <w:pStyle w:val="Heading3"/>
      </w:pPr>
      <w:r>
        <w:t xml:space="preserve">4.2. Reliability and Limitations</w:t>
      </w:r>
    </w:p>
    <w:p>
      <w:pPr>
        <w:pStyle w:val="FirstParagraph"/>
      </w:pPr>
      <w:r>
        <w:t xml:space="preserve">The reliability of this PCF analysis is good, given the use of specific primary data (BOM, energy intensity) and adherence to the GHG Protocol. However, certain limitations apply:</w:t>
      </w:r>
    </w:p>
    <w:p>
      <w:pPr>
        <w:numPr>
          <w:ilvl w:val="0"/>
          <w:numId w:val="1019"/>
        </w:numPr>
        <w:pStyle w:val="Compact"/>
      </w:pPr>
      <w:r>
        <w:rPr>
          <w:bCs/>
          <w:b/>
        </w:rPr>
        <w:t xml:space="preserve">Secondary Data Reliance:</w:t>
      </w:r>
      <w:r>
        <w:t xml:space="preserve"> </w:t>
      </w:r>
      <w:r>
        <w:t xml:space="preserve">Some emission factors for transport and generic grid mixes are based on secondary data, which may not perfectly reflect specific supplier or regional conditions.</w:t>
      </w:r>
    </w:p>
    <w:p>
      <w:pPr>
        <w:numPr>
          <w:ilvl w:val="0"/>
          <w:numId w:val="1019"/>
        </w:numPr>
        <w:pStyle w:val="Compact"/>
      </w:pPr>
      <w:r>
        <w:rPr>
          <w:bCs/>
          <w:b/>
        </w:rPr>
        <w:t xml:space="preserve">Assumptions:</w:t>
      </w:r>
      <w:r>
        <w:t xml:space="preserve"> </w:t>
      </w:r>
      <w:r>
        <w:t xml:space="preserve">Assumptions were made regarding product mass for transport calculations, average last-mile delivery distances, and the specific emission factor for the general use phase grid mix.</w:t>
      </w:r>
    </w:p>
    <w:p>
      <w:pPr>
        <w:numPr>
          <w:ilvl w:val="0"/>
          <w:numId w:val="1019"/>
        </w:numPr>
        <w:pStyle w:val="Compact"/>
      </w:pPr>
      <w:r>
        <w:rPr>
          <w:bCs/>
          <w:b/>
        </w:rPr>
        <w:t xml:space="preserve">Dynamic Nature:</w:t>
      </w:r>
      <w:r>
        <w:t xml:space="preserve"> </w:t>
      </w:r>
      <w:r>
        <w:t xml:space="preserve">Carbon footprints are dynamic and can change with improvements in manufacturing processes, energy grids, and logistics.</w:t>
      </w:r>
    </w:p>
    <w:p>
      <w:pPr>
        <w:numPr>
          <w:ilvl w:val="0"/>
          <w:numId w:val="1019"/>
        </w:numPr>
        <w:pStyle w:val="Compact"/>
      </w:pPr>
      <w:r>
        <w:rPr>
          <w:bCs/>
          <w:b/>
        </w:rPr>
        <w:t xml:space="preserve">LSR Standard:</w:t>
      </w:r>
      <w:r>
        <w:t xml:space="preserve"> </w:t>
      </w:r>
      <w:r>
        <w:t xml:space="preserve">While the LSR standard is applied, detailed land-use change impacts were not explicitly quantified for every raw material if not present in the provided BOM emission factors.</w:t>
      </w:r>
    </w:p>
    <w:bookmarkEnd w:id="37"/>
    <w:bookmarkStart w:id="38" w:name="recommendations-for-reduction"/>
    <w:p>
      <w:pPr>
        <w:pStyle w:val="Heading3"/>
      </w:pPr>
      <w:r>
        <w:t xml:space="preserve">4.3. Recommendations for Reduction</w:t>
      </w:r>
    </w:p>
    <w:p>
      <w:pPr>
        <w:pStyle w:val="FirstParagraph"/>
      </w:pPr>
      <w:r>
        <w:t xml:space="preserve">Based on the identified hotspots, \'kwzrzwzfpn\' should focus on the following strategies:</w:t>
      </w:r>
    </w:p>
    <w:p>
      <w:pPr>
        <w:numPr>
          <w:ilvl w:val="0"/>
          <w:numId w:val="1020"/>
        </w:numPr>
        <w:pStyle w:val="Compact"/>
      </w:pPr>
      <w:r>
        <w:rPr>
          <w:bCs/>
          <w:b/>
        </w:rPr>
        <w:t xml:space="preserve">Optimize Logistics:</w:t>
      </w:r>
    </w:p>
    <w:p>
      <w:pPr>
        <w:numPr>
          <w:ilvl w:val="1"/>
          <w:numId w:val="1021"/>
        </w:numPr>
        <w:pStyle w:val="Compact"/>
      </w:pPr>
      <w:r>
        <w:t xml:space="preserve">Explore more energy-efficient shipping routes and modes for upstream transport.</w:t>
      </w:r>
    </w:p>
    <w:p>
      <w:pPr>
        <w:numPr>
          <w:ilvl w:val="1"/>
          <w:numId w:val="1021"/>
        </w:numPr>
        <w:pStyle w:val="Compact"/>
      </w:pPr>
      <w:r>
        <w:t xml:space="preserve">Consolidate shipments to maximize load factors.</w:t>
      </w:r>
    </w:p>
    <w:p>
      <w:pPr>
        <w:numPr>
          <w:ilvl w:val="1"/>
          <w:numId w:val="1021"/>
        </w:numPr>
        <w:pStyle w:val="Compact"/>
      </w:pPr>
      <w:r>
        <w:t xml:space="preserve">Investigate local sourcing options for raw materials to reduce transport distances.</w:t>
      </w:r>
    </w:p>
    <w:p>
      <w:pPr>
        <w:numPr>
          <w:ilvl w:val="1"/>
          <w:numId w:val="1021"/>
        </w:numPr>
        <w:pStyle w:val="Compact"/>
      </w:pPr>
      <w:r>
        <w:t xml:space="preserve">For last-mile delivery, partner with carriers utilizing electric vehicles or other low-carbon options.</w:t>
      </w:r>
    </w:p>
    <w:p>
      <w:pPr>
        <w:numPr>
          <w:ilvl w:val="0"/>
          <w:numId w:val="1020"/>
        </w:numPr>
        <w:pStyle w:val="Compact"/>
      </w:pPr>
      <w:r>
        <w:rPr>
          <w:bCs/>
          <w:b/>
        </w:rPr>
        <w:t xml:space="preserve">Energy Efficiency in Use Phase:</w:t>
      </w:r>
    </w:p>
    <w:p>
      <w:pPr>
        <w:numPr>
          <w:ilvl w:val="1"/>
          <w:numId w:val="1022"/>
        </w:numPr>
        <w:pStyle w:val="Compact"/>
      </w:pPr>
      <w:r>
        <w:t xml:space="preserve">Design products for even lower energy consumption during their lifespan.</w:t>
      </w:r>
    </w:p>
    <w:p>
      <w:pPr>
        <w:numPr>
          <w:ilvl w:val="1"/>
          <w:numId w:val="1022"/>
        </w:numPr>
        <w:pStyle w:val="Compact"/>
      </w:pPr>
      <w:r>
        <w:t xml:space="preserve">Promote the use of renewable energy by end-users (e.g., through product labeling or information).</w:t>
      </w:r>
    </w:p>
    <w:p>
      <w:pPr>
        <w:numPr>
          <w:ilvl w:val="0"/>
          <w:numId w:val="1020"/>
        </w:numPr>
        <w:pStyle w:val="Compact"/>
      </w:pPr>
      <w:r>
        <w:rPr>
          <w:bCs/>
          <w:b/>
        </w:rPr>
        <w:t xml:space="preserve">Circular Economy Integration:</w:t>
      </w:r>
    </w:p>
    <w:p>
      <w:pPr>
        <w:numPr>
          <w:ilvl w:val="1"/>
          <w:numId w:val="1023"/>
        </w:numPr>
        <w:pStyle w:val="Compact"/>
      </w:pPr>
      <w:r>
        <w:t xml:space="preserve">Continue and expand the \'jtrwjdsoik\' product take-back program for refurbishment and end-of-life management.</w:t>
      </w:r>
    </w:p>
    <w:p>
      <w:pPr>
        <w:numPr>
          <w:ilvl w:val="1"/>
          <w:numId w:val="1023"/>
        </w:numPr>
        <w:pStyle w:val="Compact"/>
      </w:pPr>
      <w:r>
        <w:t xml:space="preserve">Further enhance the \'fntxynskdf\' (80%) recyclability by designing for disassembly and utilizing recycled content in new products.</w:t>
      </w:r>
    </w:p>
    <w:p>
      <w:pPr>
        <w:numPr>
          <w:ilvl w:val="0"/>
          <w:numId w:val="1020"/>
        </w:numPr>
        <w:pStyle w:val="Compact"/>
      </w:pPr>
      <w:r>
        <w:rPr>
          <w:bCs/>
          <w:b/>
        </w:rPr>
        <w:t xml:space="preserve">Supplier Engagement:</w:t>
      </w:r>
    </w:p>
    <w:p>
      <w:pPr>
        <w:numPr>
          <w:ilvl w:val="1"/>
          <w:numId w:val="1024"/>
        </w:numPr>
        <w:pStyle w:val="Compact"/>
      </w:pPr>
      <w:r>
        <w:t xml:space="preserve">Collaborate with suppliers to understand and reduce their upstream emissions, including those related to material extraction and processing.</w:t>
      </w:r>
    </w:p>
    <w:p>
      <w:pPr>
        <w:pStyle w:val="FirstParagraph"/>
      </w:pPr>
      <w:r>
        <w:t xml:space="preserve">This report provides a robust foundation for \'kwzrzwzfpn\' to drive meaningful carbon reduction initiatives for \'yizgmshdww\' and contribute to broader sustainability goals.</w:t>
      </w:r>
    </w:p>
    <w:p>
      <w:pPr>
        <w:pStyle w:val="BodyText"/>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yizgmshdww</dc:title>
  <dc:creator/>
  <dc:description>Detailed Product Carbon Footprint (PCF) analysis for yizgmshdww, following GHG Protocol standards, conducted by Senior Sustainability Consultant qywxqhxlef for kwzrzwzfpn.</dc:description>
  <dc:language>en</dc:language>
  <cp:keywords/>
  <dcterms:created xsi:type="dcterms:W3CDTF">2026-07-14T23:35:16Z</dcterms:created>
  <dcterms:modified xsi:type="dcterms:W3CDTF">2026-07-14T23:35:16Z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