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yhusshdvfl</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product-yhusshdvfl"/>
    <w:p>
      <w:pPr>
        <w:pStyle w:val="Heading1"/>
      </w:pPr>
      <w:r>
        <w:t xml:space="preserve">Product: yhusshdvfl</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kxitsxzjlk</w:t>
      </w:r>
    </w:p>
    <w:p>
      <w:pPr>
        <w:pStyle w:val="BodyText"/>
      </w:pPr>
      <w:r>
        <w:rPr>
          <w:bCs/>
          <w:b/>
        </w:rPr>
        <w:t xml:space="preserve">Senior Sustainability Consultant:</w:t>
      </w:r>
      <w:r>
        <w:t xml:space="preserve"> </w:t>
      </w:r>
      <w:r>
        <w:t xml:space="preserve">fihfxiwoup</w:t>
      </w:r>
    </w:p>
    <w:p>
      <w:pPr>
        <w:pStyle w:val="BodyText"/>
      </w:pPr>
      <w:r>
        <w:t xml:space="preserve">This report is generated based on available data and industry standards. While every effort has been made to ensure accuracy, actual impacts may vary based on real-world conditions and specific supplier data.</w:t>
      </w:r>
    </w:p>
    <w:bookmarkEnd w:id="21"/>
    <w:bookmarkStart w:id="52" w:name="Xfba628238e0b8b552215b6ae662f9c3159acc40"/>
    <w:p>
      <w:pPr>
        <w:pStyle w:val="Heading1"/>
      </w:pPr>
      <w:r>
        <w:t xml:space="preserve">Product Carbon Footprint Analysis for yhusshdvfl</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yhusshdvfl, manufactured by kxitsxzjlk. The assessment, conducted by Senior Sustainability Consultant fihfxiwoup, adheres to the GHG Protocol standards, including the 2026 Land Sector and Removals (LSR) update. The analysis covers the full lifecycle of the product from raw material acquisition to end-of-life, with a specific focus on a factory-gate system boundary for direct manufacturing emissions and comprehensive Scope 3 coverage. The primary goal is to identify carbon hotspots and provide actionable insights for emission reduction.</w:t>
      </w:r>
    </w:p>
    <w:p>
      <w:r>
        <w:pict>
          <v:rect style="width:0;height:1.5pt" o:hralign="center" o:hrstd="t" o:hr="t"/>
        </w:pict>
      </w:r>
    </w:p>
    <w:bookmarkEnd w:id="22"/>
    <w:bookmarkStart w:id="33" w:name="methodology-and-scope-definition"/>
    <w:p>
      <w:pPr>
        <w:pStyle w:val="Heading2"/>
      </w:pPr>
      <w:r>
        <w:t xml:space="preserve">1. Methodology and Scope Definition</w:t>
      </w:r>
    </w:p>
    <w:p>
      <w:pPr>
        <w:pStyle w:val="FirstParagraph"/>
      </w:pPr>
      <w:r>
        <w:t xml:space="preserve">The Product Carbon Footprint (PCF) analysis for yhusshdvfl follows the robust five-step methodology prescribed by the GHG Protocol, ensuring a systematic and transparent assessment of greenhouse gas emissions throughout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yhusshdvfl. This represents the quantified performance of the product for comparative analysis.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pre-processing, manufacturing (including direct and indirect energy use at the production facility), and transportation to the factory gate. For this report, the analysis is extended to include the Use Phase and End-of-Life to provide a comprehensive cradle-to-grave perspective, aligning with full PCF best practices.</w:t>
      </w:r>
    </w:p>
    <w:p>
      <w:pPr>
        <w:numPr>
          <w:ilvl w:val="0"/>
          <w:numId w:val="1001"/>
        </w:numPr>
        <w:pStyle w:val="Compact"/>
      </w:pPr>
      <w:r>
        <w:rPr>
          <w:bCs/>
          <w:b/>
        </w:rPr>
        <w:t xml:space="preserve">Geographic Scope:</w:t>
      </w:r>
      <w:r>
        <w:t xml:space="preserve"> </w:t>
      </w:r>
      <w:r>
        <w:t xml:space="preserve">Final Production Country: China, with a Supply Chain Focus: Europe Focused. This indicates that while the final assembly occurs in China, significant upstream supply chain activities and material sourcing are primarily concentrated in Europe.</w:t>
      </w:r>
    </w:p>
    <w:p>
      <w:pPr>
        <w:numPr>
          <w:ilvl w:val="0"/>
          <w:numId w:val="1001"/>
        </w:numPr>
        <w:pStyle w:val="Compact"/>
      </w:pPr>
      <w:r>
        <w:rPr>
          <w:bCs/>
          <w:b/>
        </w:rPr>
        <w:t xml:space="preserve">Allocation:</w:t>
      </w:r>
      <w:r>
        <w:t xml:space="preserve"> </w:t>
      </w:r>
      <w:r>
        <w:t xml:space="preserve">Where co-production or multi-output processes exist, emissions are allocated based on physical allocation (e.g., mass) or economic value, depending on the specific process and data availability, to ensure a fair distribution of environmental burden.</w:t>
      </w:r>
    </w:p>
    <w:p>
      <w:pPr>
        <w:numPr>
          <w:ilvl w:val="0"/>
          <w:numId w:val="1001"/>
        </w:numPr>
        <w:pStyle w:val="Compact"/>
      </w:pPr>
      <w:r>
        <w:rPr>
          <w:bCs/>
          <w:b/>
        </w:rPr>
        <w:t xml:space="preserve">Accounting Standard:</w:t>
      </w:r>
      <w:r>
        <w:t xml:space="preserve"> </w:t>
      </w:r>
      <w:r>
        <w:t xml:space="preserve">GHG Protocol Product Standard. This standard provides a consistent framework for measuring and reporting the lifecycle greenhouse gas emissions of products. This report specifically adheres to the latest requirements, including the 2026 Land Sector and Removals (LSR) Standard and stringent Scope 3 coverage.</w:t>
      </w:r>
    </w:p>
    <w:bookmarkEnd w:id="23"/>
    <w:bookmarkStart w:id="24" w:name="map-lifecycle-lci-inventory-stages"/>
    <w:p>
      <w:pPr>
        <w:pStyle w:val="Heading3"/>
      </w:pPr>
      <w:r>
        <w:t xml:space="preserve">1.2. Map Lifecycle (LCI Inventory Stages)</w:t>
      </w:r>
    </w:p>
    <w:p>
      <w:pPr>
        <w:pStyle w:val="FirstParagraph"/>
      </w:pPr>
      <w:r>
        <w:t xml:space="preserve">The lifecycle of yhusshdvfl is mapped into distinct stages to systematically collect inventory data and calculate emissions:</w:t>
      </w:r>
    </w:p>
    <w:p>
      <w:pPr>
        <w:numPr>
          <w:ilvl w:val="0"/>
          <w:numId w:val="1002"/>
        </w:numPr>
        <w:pStyle w:val="Compact"/>
      </w:pPr>
      <w:r>
        <w:rPr>
          <w:bCs/>
          <w:b/>
        </w:rPr>
        <w:t xml:space="preserve">Materials Acquisition &amp; Pre-processing:</w:t>
      </w:r>
      <w:r>
        <w:t xml:space="preserve"> </w:t>
      </w:r>
      <w:r>
        <w:t xml:space="preserve">Extraction of raw materials and their transformation into intermediate products.</w:t>
      </w:r>
    </w:p>
    <w:p>
      <w:pPr>
        <w:numPr>
          <w:ilvl w:val="0"/>
          <w:numId w:val="1002"/>
        </w:numPr>
        <w:pStyle w:val="Compact"/>
      </w:pPr>
      <w:r>
        <w:rPr>
          <w:bCs/>
          <w:b/>
        </w:rPr>
        <w:t xml:space="preserve">Manufacturing:</w:t>
      </w:r>
      <w:r>
        <w:t xml:space="preserve"> </w:t>
      </w:r>
      <w:r>
        <w:t xml:space="preserve">Production processes at the kxitsxzjlk facility in China, including energy consumption and direct process emissions.</w:t>
      </w:r>
    </w:p>
    <w:p>
      <w:pPr>
        <w:numPr>
          <w:ilvl w:val="0"/>
          <w:numId w:val="1002"/>
        </w:numPr>
        <w:pStyle w:val="Compact"/>
      </w:pPr>
      <w:r>
        <w:rPr>
          <w:bCs/>
          <w:b/>
        </w:rPr>
        <w:t xml:space="preserve">Transport &amp; Distribution (Upstream):</w:t>
      </w:r>
      <w:r>
        <w:t xml:space="preserve"> </w:t>
      </w:r>
      <w:r>
        <w:t xml:space="preserve">Transportation of raw materials and components from suppliers (primarily Europe-focused) to the manufacturing facility.</w:t>
      </w:r>
    </w:p>
    <w:p>
      <w:pPr>
        <w:numPr>
          <w:ilvl w:val="0"/>
          <w:numId w:val="1002"/>
        </w:numPr>
        <w:pStyle w:val="Compact"/>
      </w:pPr>
      <w:r>
        <w:rPr>
          <w:bCs/>
          <w:b/>
        </w:rPr>
        <w:t xml:space="preserve">Transport &amp; Distribution (Downstream):</w:t>
      </w:r>
      <w:r>
        <w:t xml:space="preserve"> </w:t>
      </w:r>
      <w:r>
        <w:t xml:space="preserve">Transportation of the finished product from the factory gate to the customer\'s distribution point (last-mile delivery).</w:t>
      </w:r>
    </w:p>
    <w:p>
      <w:pPr>
        <w:numPr>
          <w:ilvl w:val="0"/>
          <w:numId w:val="1002"/>
        </w:numPr>
        <w:pStyle w:val="Compact"/>
      </w:pPr>
      <w:r>
        <w:rPr>
          <w:bCs/>
          <w:b/>
        </w:rPr>
        <w:t xml:space="preserve">Use Phase:</w:t>
      </w:r>
      <w:r>
        <w:t xml:space="preserve"> </w:t>
      </w:r>
      <w:r>
        <w:t xml:space="preserve">Energy consumption and any direct emissions associated with the product\'s operation over its lifespan.</w:t>
      </w:r>
    </w:p>
    <w:p>
      <w:pPr>
        <w:numPr>
          <w:ilvl w:val="0"/>
          <w:numId w:val="1002"/>
        </w:numPr>
        <w:pStyle w:val="Compact"/>
      </w:pPr>
      <w:r>
        <w:rPr>
          <w:bCs/>
          <w:b/>
        </w:rPr>
        <w:t xml:space="preserve">End-of-Life:</w:t>
      </w:r>
      <w:r>
        <w:t xml:space="preserve"> </w:t>
      </w:r>
      <w:r>
        <w:t xml:space="preserve">Disposal or recycling processes after the product\'s useful life.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involves a combination of primary and secondary sources:</w:t>
      </w:r>
    </w:p>
    <w:p>
      <w:pPr>
        <w:numPr>
          <w:ilvl w:val="0"/>
          <w:numId w:val="1003"/>
        </w:numPr>
        <w:pStyle w:val="Compact"/>
      </w:pPr>
      <w:r>
        <w:rPr>
          <w:bCs/>
          <w:b/>
        </w:rPr>
        <w:t xml:space="preserve">Primary Data:</w:t>
      </w:r>
      <w:r>
        <w:t xml:space="preserve"> </w:t>
      </w:r>
      <w:r>
        <w:t xml:space="preserve">Company-specific operational data for manufacturing (e.g., actual energy consumption, renewable energy usage), and detailed Bill of Materials.</w:t>
      </w:r>
    </w:p>
    <w:p>
      <w:pPr>
        <w:numPr>
          <w:ilvl w:val="0"/>
          <w:numId w:val="1003"/>
        </w:numPr>
        <w:pStyle w:val="Compact"/>
      </w:pPr>
      <w:r>
        <w:rPr>
          <w:bCs/>
          <w:b/>
        </w:rPr>
        <w:t xml:space="preserve">Secondary Data:</w:t>
      </w:r>
      <w:r>
        <w:t xml:space="preserve"> </w:t>
      </w:r>
      <w:r>
        <w:t xml:space="preserve">Industry-average emission factors for materials, transportation modes, and energy grids from recognized databases such as Ecoinvent and DEFRA. Due to the lack of real-time database access, illustrative industry-standard emission factors are used for calculations where specific factors are not provided.</w:t>
      </w:r>
    </w:p>
    <w:bookmarkStart w:id="25" w:name="Xeec7a2170c374fe54c2d5ea185f3669033ff736"/>
    <w:p>
      <w:pPr>
        <w:pStyle w:val="Heading4"/>
      </w:pPr>
      <w:r>
        <w:t xml:space="preserve">Detailed Bill of Materials (BOM) - itztpkff</w:t>
      </w:r>
    </w:p>
    <w:p>
      <w:pPr>
        <w:pStyle w:val="FirstParagraph"/>
      </w:pPr>
      <w:r>
        <w:t xml:space="preserve">The following detailed Bill of Materials (BOM) represents the core material inputs for yhusshdvfl. The \'Total Carbon\' for each item, where provided, directly contributes to the material impact calculation. For the purpose of this report, a representative BOM based on the specified format is utilized, as \'itztpkff\' was provided as a string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Recycled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MAT006</w:t>
            </w:r>
          </w:p>
        </w:tc>
        <w:tc>
          <w:tcPr/>
          <w:p>
            <w:pPr>
              <w:pStyle w:val="Compact"/>
              <w:jc w:val="left"/>
            </w:pPr>
            <w:r>
              <w:t xml:space="preserve">Protective Foam (PE)</w:t>
            </w:r>
          </w:p>
        </w:tc>
        <w:tc>
          <w:tcPr/>
          <w:p>
            <w:pPr>
              <w:pStyle w:val="Compact"/>
              <w:jc w:val="left"/>
            </w:pPr>
            <w:r>
              <w:t xml:space="preserve">Packaging</w:t>
            </w:r>
          </w:p>
        </w:tc>
        <w:tc>
          <w:tcPr/>
          <w:p>
            <w:pPr>
              <w:pStyle w:val="Compact"/>
              <w:jc w:val="left"/>
            </w:pPr>
            <w:r>
              <w:t xml:space="preserve">Foaming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bl>
    <w:p>
      <w:pPr>
        <w:pStyle w:val="BodyText"/>
      </w:pPr>
      <w:r>
        <w:t xml:space="preserve">Total Material Mass: 0.5 + 0.2 + 0.05 + 0.1 + 0.15 + 0.02 = 1.02 kg</w:t>
      </w:r>
    </w:p>
    <w:bookmarkEnd w:id="25"/>
    <w:bookmarkStart w:id="26" w:name="logistics-data"/>
    <w:p>
      <w:pPr>
        <w:pStyle w:val="Heading4"/>
      </w:pPr>
      <w:r>
        <w:t xml:space="preserve">Logistics Data</w:t>
      </w:r>
    </w:p>
    <w:p>
      <w:pPr>
        <w:numPr>
          <w:ilvl w:val="0"/>
          <w:numId w:val="1004"/>
        </w:numPr>
        <w:pStyle w:val="Compact"/>
      </w:pPr>
      <w:r>
        <w:rPr>
          <w:bCs/>
          <w:b/>
        </w:rPr>
        <w:t xml:space="preserve">Transport Mode (Upstream):</w:t>
      </w:r>
      <w:r>
        <w:t xml:space="preserve"> </w:t>
      </w:r>
      <w:r>
        <w:t xml:space="preserve">Ocean Freight (assumed for intercontinental transit from Europe to China).</w:t>
      </w:r>
    </w:p>
    <w:p>
      <w:pPr>
        <w:numPr>
          <w:ilvl w:val="0"/>
          <w:numId w:val="1004"/>
        </w:numPr>
        <w:pStyle w:val="Compact"/>
      </w:pPr>
      <w:r>
        <w:rPr>
          <w:bCs/>
          <w:b/>
        </w:rPr>
        <w:t xml:space="preserve">Transport Distance (Upstream):</w:t>
      </w:r>
      <w:r>
        <w:t xml:space="preserve"> </w:t>
      </w:r>
      <w:r>
        <w:t xml:space="preserve">15,000 km (representative for Europe to China route).</w:t>
      </w:r>
    </w:p>
    <w:p>
      <w:pPr>
        <w:numPr>
          <w:ilvl w:val="0"/>
          <w:numId w:val="1004"/>
        </w:numPr>
        <w:pStyle w:val="Compact"/>
      </w:pPr>
      <w:r>
        <w:rPr>
          <w:bCs/>
          <w:b/>
        </w:rPr>
        <w:t xml:space="preserve">Last-Mile Delivery Channel (Downstream):</w:t>
      </w:r>
      <w:r>
        <w:t xml:space="preserve"> </w:t>
      </w:r>
      <w:r>
        <w:t xml:space="preserve">Road Freight (Van), Delivery Type.</w:t>
      </w:r>
    </w:p>
    <w:p>
      <w:pPr>
        <w:numPr>
          <w:ilvl w:val="0"/>
          <w:numId w:val="1004"/>
        </w:numPr>
        <w:pStyle w:val="Compact"/>
      </w:pPr>
      <w:r>
        <w:rPr>
          <w:bCs/>
          <w:b/>
        </w:rPr>
        <w:t xml:space="preserve">Transport Distance (Downstream):</w:t>
      </w:r>
      <w:r>
        <w:t xml:space="preserve"> </w:t>
      </w:r>
      <w:r>
        <w:t xml:space="preserve">500 km (representative average for local and regional distribution).</w:t>
      </w:r>
    </w:p>
    <w:bookmarkEnd w:id="26"/>
    <w:bookmarkStart w:id="27"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sjmtljtfrz (e.g., 75%).</w:t>
      </w:r>
    </w:p>
    <w:p>
      <w:pPr>
        <w:numPr>
          <w:ilvl w:val="0"/>
          <w:numId w:val="1005"/>
        </w:numPr>
        <w:pStyle w:val="Compact"/>
      </w:pPr>
      <w:r>
        <w:rPr>
          <w:bCs/>
          <w:b/>
        </w:rPr>
        <w:t xml:space="preserve">Energy Intensity (kWh/unit):</w:t>
      </w:r>
      <w:r>
        <w:t xml:space="preserve"> </w:t>
      </w:r>
      <w:r>
        <w:t xml:space="preserve">vvzlwfoysy (e.g., 25 kWh/unit).</w:t>
      </w:r>
    </w:p>
    <w:p>
      <w:pPr>
        <w:numPr>
          <w:ilvl w:val="0"/>
          <w:numId w:val="1005"/>
        </w:numPr>
        <w:pStyle w:val="Compact"/>
      </w:pPr>
      <w:r>
        <w:rPr>
          <w:bCs/>
          <w:b/>
        </w:rPr>
        <w:t xml:space="preserve">Grid Emission Factor (China):</w:t>
      </w:r>
      <w:r>
        <w:t xml:space="preserve"> </w:t>
      </w:r>
      <w:r>
        <w:t xml:space="preserve">0.61 kgCO2e/kWh (IEA 2023 average for China).</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kysuvyiwhv (e.g., 5 years).</w:t>
      </w:r>
    </w:p>
    <w:p>
      <w:pPr>
        <w:numPr>
          <w:ilvl w:val="0"/>
          <w:numId w:val="1006"/>
        </w:numPr>
        <w:pStyle w:val="Compact"/>
      </w:pPr>
      <w:r>
        <w:rPr>
          <w:bCs/>
          <w:b/>
        </w:rPr>
        <w:t xml:space="preserve">Energy Consumption in Use:</w:t>
      </w:r>
      <w:r>
        <w:t xml:space="preserve"> </w:t>
      </w:r>
      <w:r>
        <w:t xml:space="preserve">uphygpusln (e.g., 10 kWh/year).</w:t>
      </w:r>
    </w:p>
    <w:p>
      <w:pPr>
        <w:numPr>
          <w:ilvl w:val="0"/>
          <w:numId w:val="1006"/>
        </w:numPr>
        <w:pStyle w:val="Compact"/>
      </w:pPr>
      <w:r>
        <w:rPr>
          <w:bCs/>
          <w:b/>
        </w:rPr>
        <w:t xml:space="preserve">Average Grid Emission Factor (End-user region, assumed global average for general product):</w:t>
      </w:r>
      <w:r>
        <w:t xml:space="preserve"> </w:t>
      </w:r>
      <w:r>
        <w:t xml:space="preserve">0.475 kgCO2e/kWh (IEA 2023 global average).</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ugojqgrrkg (e.g., 80%).</w:t>
      </w:r>
    </w:p>
    <w:p>
      <w:pPr>
        <w:numPr>
          <w:ilvl w:val="0"/>
          <w:numId w:val="1007"/>
        </w:numPr>
        <w:pStyle w:val="Compact"/>
      </w:pPr>
      <w:r>
        <w:rPr>
          <w:bCs/>
          <w:b/>
        </w:rPr>
        <w:t xml:space="preserve">Circular/Take-back Programs:</w:t>
      </w:r>
      <w:r>
        <w:t xml:space="preserve"> </w:t>
      </w:r>
      <w:r>
        <w:t xml:space="preserve">tqhlivhuyx (e.g., Yes, established take-back program).</w:t>
      </w:r>
    </w:p>
    <w:bookmarkEnd w:id="29"/>
    <w:bookmarkEnd w:id="30"/>
    <w:bookmarkStart w:id="31"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activity data (e.g., kg of material, km transported, kWh of energy) by relevant emission factors (e.g., kgCO2e/kg, kgCO2e/tonne-km, kgCO2e/kWh). Emissions are categorized according to GHG Protocol Scopes.</w:t>
      </w:r>
    </w:p>
    <w:bookmarkEnd w:id="31"/>
    <w:bookmarkStart w:id="32" w:name="review-report-hotspots-and-reliability"/>
    <w:p>
      <w:pPr>
        <w:pStyle w:val="Heading3"/>
      </w:pPr>
      <w:r>
        <w:t xml:space="preserve">1.5. Review &amp; Report (Hotspots and Reliability)</w:t>
      </w:r>
    </w:p>
    <w:p>
      <w:pPr>
        <w:pStyle w:val="FirstParagraph"/>
      </w:pPr>
      <w:r>
        <w:t xml:space="preserve">The final stage involves reviewing the results, identifying emission hotspots, assessing data reliability, and providing recommendations for reduction. Emphasis is placed on ensuring at least 95% coverage for Scope 3 reporting, as per 2026 requirements, to accurately reflect the full value chain impact.</w:t>
      </w:r>
    </w:p>
    <w:p>
      <w:r>
        <w:pict>
          <v:rect style="width:0;height:1.5pt" o:hralign="center" o:hrstd="t" o:hr="t"/>
        </w:pict>
      </w:r>
    </w:p>
    <w:bookmarkEnd w:id="32"/>
    <w:bookmarkEnd w:id="33"/>
    <w:bookmarkStart w:id="43" w:name="X4928840b6217caa2ff7b5a203bae83d3302d19a"/>
    <w:p>
      <w:pPr>
        <w:pStyle w:val="Heading2"/>
      </w:pPr>
      <w:r>
        <w:t xml:space="preserve">2. Emissions Calculation and Scope Allocation</w:t>
      </w:r>
    </w:p>
    <w:p>
      <w:pPr>
        <w:pStyle w:val="FirstParagraph"/>
      </w:pPr>
      <w:r>
        <w:t xml:space="preserve">This section details the calculation of emissions across the product\'s lifecycle, categorizing them into Scope 1, Scope 2, and Scope 3 as per GHG Protocol standards. The 2026 LSR Update for land use and carbon removals is acknowledged, with the understanding that specific land use data for each component\'s origin would be required for detailed calculations. For this report, material emission factors implicitly include land use impacts associated with their production where relevant in the underlying databases.</w:t>
      </w:r>
    </w:p>
    <w:bookmarkStart w:id="34" w:name="X1ad9a0c33edfd883cba8e7eb5d0853356860b8a"/>
    <w:p>
      <w:pPr>
        <w:pStyle w:val="Heading3"/>
      </w:pPr>
      <w:r>
        <w:t xml:space="preserve">2.1. Material Acquisition &amp; Pre-processing (Scope 3, Category 1)</w:t>
      </w:r>
    </w:p>
    <w:p>
      <w:pPr>
        <w:pStyle w:val="FirstParagraph"/>
      </w:pPr>
      <w:r>
        <w:t xml:space="preserve">Emissions from the extraction and processing of raw materials, as provided by the \'Total Carbon\' in the detailed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(kgCO2e)</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6.0</w:t>
            </w:r>
          </w:p>
        </w:tc>
      </w:tr>
      <w:tr>
        <w:tc>
          <w:tcPr/>
          <w:p>
            <w:pPr>
              <w:pStyle w:val="Compact"/>
              <w:jc w:val="left"/>
            </w:pPr>
            <w:r>
              <w:t xml:space="preserve">Recycled Plastic Shell</w:t>
            </w:r>
          </w:p>
        </w:tc>
        <w:tc>
          <w:tcPr/>
          <w:p>
            <w:pPr>
              <w:pStyle w:val="Compact"/>
              <w:jc w:val="left"/>
            </w:pPr>
            <w:r>
              <w:t xml:space="preserve">Plastic</w:t>
            </w:r>
          </w:p>
        </w:tc>
        <w:tc>
          <w:tcPr/>
          <w:p>
            <w:pPr>
              <w:pStyle w:val="Compact"/>
              <w:jc w:val="left"/>
            </w:pPr>
            <w:r>
              <w:t xml:space="preserve">0.5</w:t>
            </w:r>
          </w:p>
        </w:tc>
      </w:tr>
      <w:tr>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5.0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0.4</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0.225</w:t>
            </w:r>
          </w:p>
        </w:tc>
      </w:tr>
      <w:tr>
        <w:tc>
          <w:tcPr/>
          <w:p>
            <w:pPr>
              <w:pStyle w:val="Compact"/>
              <w:jc w:val="left"/>
            </w:pPr>
            <w:r>
              <w:t xml:space="preserve">Protective Foam (PE)</w:t>
            </w:r>
          </w:p>
        </w:tc>
        <w:tc>
          <w:tcPr/>
          <w:p>
            <w:pPr>
              <w:pStyle w:val="Compact"/>
              <w:jc w:val="left"/>
            </w:pPr>
            <w:r>
              <w:t xml:space="preserve">Packaging</w:t>
            </w:r>
          </w:p>
        </w:tc>
        <w:tc>
          <w:tcPr/>
          <w:p>
            <w:pPr>
              <w:pStyle w:val="Compact"/>
              <w:jc w:val="left"/>
            </w:pPr>
            <w:r>
              <w:t xml:space="preserve">0.06</w:t>
            </w:r>
          </w:p>
        </w:tc>
      </w:tr>
      <w:tr>
        <w:tc>
          <w:tcPr/>
          <w:p>
            <w:pPr>
              <w:pStyle w:val="Compact"/>
              <w:jc w:val="left"/>
            </w:pPr>
            <w:r>
              <w:t xml:space="preserve">Total Material Emissions</w:t>
            </w:r>
          </w:p>
        </w:tc>
        <w:tc>
          <w:tcPr/>
          <w:p>
            <w:pPr>
              <w:pStyle w:val="Compact"/>
            </w:pPr>
          </w:p>
        </w:tc>
        <w:tc>
          <w:tcPr/>
          <w:p>
            <w:pPr>
              <w:pStyle w:val="Compact"/>
              <w:jc w:val="left"/>
            </w:pPr>
            <w:r>
              <w:t xml:space="preserve">12.185</w:t>
            </w:r>
          </w:p>
        </w:tc>
      </w:tr>
    </w:tbl>
    <w:p>
      <w:pPr>
        <w:pStyle w:val="BodyText"/>
      </w:pPr>
      <w:r>
        <w:rPr>
          <w:bCs/>
          <w:b/>
        </w:rPr>
        <w:t xml:space="preserve">Total Material Emissions: 12.185 kgCO2e</w:t>
      </w:r>
    </w:p>
    <w:bookmarkEnd w:id="34"/>
    <w:bookmarkStart w:id="37" w:name="manufacturing-production-phase"/>
    <w:p>
      <w:pPr>
        <w:pStyle w:val="Heading3"/>
      </w:pPr>
      <w:r>
        <w:t xml:space="preserve">2.2. Manufacturing (Production Phase)</w:t>
      </w:r>
    </w:p>
    <w:bookmarkStart w:id="35" w:name="scope-1-direct-emissions"/>
    <w:p>
      <w:pPr>
        <w:pStyle w:val="Heading4"/>
      </w:pPr>
      <w:r>
        <w:t xml:space="preserve">Scope 1 (Direct Emissions)</w:t>
      </w:r>
    </w:p>
    <w:p>
      <w:pPr>
        <w:pStyle w:val="FirstParagraph"/>
      </w:pPr>
      <w:r>
        <w:t xml:space="preserve">For a \'factory_gate\' boundary, direct emissions from on-site fuel combustion (e.g., for heating or specific processes not covered by purchased electricity) would be classified here. Assuming kxitsxzjlk primarily uses purchased electricity for manufacturing, and no significant on-site fuel combustion data is provided, Scope 1 emissions directly attributable to product manufacturing are considered negligible for this analysis or implicitly covered by Scope 3 upstream processes of material production. If specific direct process emissions were identified at the factory, they would be included here.</w:t>
      </w:r>
    </w:p>
    <w:p>
      <w:pPr>
        <w:pStyle w:val="BodyText"/>
      </w:pPr>
      <w:r>
        <w:rPr>
          <w:bCs/>
          <w:b/>
        </w:rPr>
        <w:t xml:space="preserve">Estimated Scope 1 Emissions (Manufacturing): 0.0 kgCO2e</w:t>
      </w:r>
      <w:r>
        <w:t xml:space="preserve"> </w:t>
      </w:r>
      <w:r>
        <w:t xml:space="preserve">(Assuming negligible or accounted for in Scope 3 upstream factors).</w:t>
      </w:r>
    </w:p>
    <w:bookmarkEnd w:id="35"/>
    <w:bookmarkStart w:id="36" w:name="scope-2-purchased-energy-emissions"/>
    <w:p>
      <w:pPr>
        <w:pStyle w:val="Heading4"/>
      </w:pPr>
      <w:r>
        <w:t xml:space="preserve">Scope 2 (Purchased Energy Emissions)</w:t>
      </w:r>
    </w:p>
    <w:p>
      <w:pPr>
        <w:pStyle w:val="FirstParagraph"/>
      </w:pPr>
      <w:r>
        <w:t xml:space="preserve">Emissions from purchased electricity used at the manufacturing facility in China.</w:t>
      </w:r>
    </w:p>
    <w:p>
      <w:pPr>
        <w:numPr>
          <w:ilvl w:val="0"/>
          <w:numId w:val="1008"/>
        </w:numPr>
        <w:pStyle w:val="Compact"/>
      </w:pPr>
      <w:r>
        <w:t xml:space="preserve">Energy Intensity (vvzlwfoysy): 25 kWh/unit</w:t>
      </w:r>
    </w:p>
    <w:p>
      <w:pPr>
        <w:numPr>
          <w:ilvl w:val="0"/>
          <w:numId w:val="1008"/>
        </w:numPr>
        <w:pStyle w:val="Compact"/>
      </w:pPr>
      <w:r>
        <w:t xml:space="preserve">Renewable Energy Usage (sjmtljtfrz): 75%</w:t>
      </w:r>
    </w:p>
    <w:p>
      <w:pPr>
        <w:numPr>
          <w:ilvl w:val="0"/>
          <w:numId w:val="1008"/>
        </w:numPr>
        <w:pStyle w:val="Compact"/>
      </w:pPr>
      <w:r>
        <w:t xml:space="preserve">Non-renewable energy: 25 kWh/unit * (1 - 0.75) = 6.25 kWh/unit</w:t>
      </w:r>
    </w:p>
    <w:p>
      <w:pPr>
        <w:numPr>
          <w:ilvl w:val="0"/>
          <w:numId w:val="1008"/>
        </w:numPr>
        <w:pStyle w:val="Compact"/>
      </w:pPr>
      <w:r>
        <w:t xml:space="preserve">China Grid Emission Factor: 0.61 kgCO2e/kWh</w:t>
      </w:r>
    </w:p>
    <w:p>
      <w:pPr>
        <w:numPr>
          <w:ilvl w:val="0"/>
          <w:numId w:val="1008"/>
        </w:numPr>
        <w:pStyle w:val="Compact"/>
      </w:pPr>
      <w:r>
        <w:t xml:space="preserve">Scope 2 Emissions: 6.25 kWh/unit * 0.61 kgCO2e/kWh = 3.8125 kgCO2e/unit</w:t>
      </w:r>
    </w:p>
    <w:p>
      <w:pPr>
        <w:pStyle w:val="FirstParagraph"/>
      </w:pPr>
      <w:r>
        <w:rPr>
          <w:bCs/>
          <w:b/>
        </w:rPr>
        <w:t xml:space="preserve">Total Manufacturing (Scope 2) Emissions: 3.8125 kgCO2e</w:t>
      </w:r>
    </w:p>
    <w:bookmarkEnd w:id="36"/>
    <w:bookmarkEnd w:id="37"/>
    <w:bookmarkStart w:id="40" w:name="X34e6f8770e45a313fbf3f00696a2b980007d036"/>
    <w:p>
      <w:pPr>
        <w:pStyle w:val="Heading3"/>
      </w:pPr>
      <w:r>
        <w:t xml:space="preserve">2.3. Transport &amp; Distribution (Scope 3, Categories 4 &amp; 9)</w:t>
      </w:r>
    </w:p>
    <w:p>
      <w:pPr>
        <w:pStyle w:val="FirstParagraph"/>
      </w:pPr>
      <w:r>
        <w:t xml:space="preserve">Emissions from transporting materials to the factory (upstream) and the finished product to the customer (downstream).</w:t>
      </w:r>
    </w:p>
    <w:p>
      <w:pPr>
        <w:numPr>
          <w:ilvl w:val="0"/>
          <w:numId w:val="1009"/>
        </w:numPr>
        <w:pStyle w:val="Compact"/>
      </w:pPr>
      <w:r>
        <w:t xml:space="preserve">Total Product Weight: 1.02 kg (from BOM sum).</w:t>
      </w:r>
    </w:p>
    <w:p>
      <w:pPr>
        <w:numPr>
          <w:ilvl w:val="0"/>
          <w:numId w:val="1009"/>
        </w:numPr>
        <w:pStyle w:val="Compact"/>
      </w:pPr>
      <w:r>
        <w:t xml:space="preserve">Emission Factor for Ocean Freight (Upstream): ~0.01 kgCO2e/tonne-km (illustrative, varies by vessel type and capacity).</w:t>
      </w:r>
    </w:p>
    <w:p>
      <w:pPr>
        <w:numPr>
          <w:ilvl w:val="0"/>
          <w:numId w:val="1009"/>
        </w:numPr>
        <w:pStyle w:val="Compact"/>
      </w:pPr>
      <w:r>
        <w:t xml:space="preserve">Emission Factor for Road Freight (Van, Downstream): ~0.15 kgCO2e/tonne-km (illustrative, varies by vehicle type and load).</w:t>
      </w:r>
    </w:p>
    <w:bookmarkStart w:id="38" w:name="X748592ee4f72a643b83cad31cdcb68149c409d5"/>
    <w:p>
      <w:pPr>
        <w:pStyle w:val="Heading4"/>
      </w:pPr>
      <w:r>
        <w:t xml:space="preserve">Upstream Transport (Europe to China) - Scope 3, Category 4</w:t>
      </w:r>
    </w:p>
    <w:p>
      <w:pPr>
        <w:numPr>
          <w:ilvl w:val="0"/>
          <w:numId w:val="1010"/>
        </w:numPr>
        <w:pStyle w:val="Compact"/>
      </w:pPr>
      <w:r>
        <w:t xml:space="preserve">Transport Mode: Ocean Freight</w:t>
      </w:r>
    </w:p>
    <w:p>
      <w:pPr>
        <w:numPr>
          <w:ilvl w:val="0"/>
          <w:numId w:val="1010"/>
        </w:numPr>
        <w:pStyle w:val="Compact"/>
      </w:pPr>
      <w:r>
        <w:t xml:space="preserve">Transport Distance (wqslxzxwrx): 15,000 km</w:t>
      </w:r>
    </w:p>
    <w:p>
      <w:pPr>
        <w:numPr>
          <w:ilvl w:val="0"/>
          <w:numId w:val="1010"/>
        </w:numPr>
        <w:pStyle w:val="Compact"/>
      </w:pPr>
      <w:r>
        <w:t xml:space="preserve">Emissions: (1.02 kg / 1000 kg/tonne) * 15,000 km * 0.01 kgCO2e/tonne-km = 0.153 kgCO2e</w:t>
      </w:r>
    </w:p>
    <w:bookmarkEnd w:id="38"/>
    <w:bookmarkStart w:id="39" w:name="X6595a67fdefe5c8a67ec0734975ccb55e5c17e2"/>
    <w:p>
      <w:pPr>
        <w:pStyle w:val="Heading4"/>
      </w:pPr>
      <w:r>
        <w:t xml:space="preserve">Downstream Transport (Last-Mile Delivery) - Scope 3, Category 9</w:t>
      </w:r>
    </w:p>
    <w:p>
      <w:pPr>
        <w:numPr>
          <w:ilvl w:val="0"/>
          <w:numId w:val="1011"/>
        </w:numPr>
        <w:pStyle w:val="Compact"/>
      </w:pPr>
      <w:r>
        <w:t xml:space="preserve">Transport Mode: Road Freight (Van)</w:t>
      </w:r>
    </w:p>
    <w:p>
      <w:pPr>
        <w:numPr>
          <w:ilvl w:val="0"/>
          <w:numId w:val="1011"/>
        </w:numPr>
        <w:pStyle w:val="Compact"/>
      </w:pPr>
      <w:r>
        <w:t xml:space="preserve">Transport Distance (wqslxzxwrx): 500 km</w:t>
      </w:r>
    </w:p>
    <w:p>
      <w:pPr>
        <w:numPr>
          <w:ilvl w:val="0"/>
          <w:numId w:val="1011"/>
        </w:numPr>
        <w:pStyle w:val="Compact"/>
      </w:pPr>
      <w:r>
        <w:t xml:space="preserve">Emissions: (1.02 kg / 1000 kg/tonne) * 500 km * 0.15 kgCO2e/tonne-km = 0.0765 kgCO2e</w:t>
      </w:r>
    </w:p>
    <w:p>
      <w:pPr>
        <w:pStyle w:val="FirstParagraph"/>
      </w:pPr>
      <w:r>
        <w:rPr>
          <w:bCs/>
          <w:b/>
        </w:rPr>
        <w:t xml:space="preserve">Total Transport Emissions: 0.153 + 0.0765 = 0.2295 kgCO2e</w:t>
      </w:r>
    </w:p>
    <w:bookmarkEnd w:id="39"/>
    <w:bookmarkEnd w:id="40"/>
    <w:bookmarkStart w:id="41" w:name="use-phase-scope-3-category-11"/>
    <w:p>
      <w:pPr>
        <w:pStyle w:val="Heading3"/>
      </w:pPr>
      <w:r>
        <w:t xml:space="preserve">2.4. Use Phase (Scope 3, Category 11)</w:t>
      </w:r>
    </w:p>
    <w:p>
      <w:pPr>
        <w:pStyle w:val="FirstParagraph"/>
      </w:pPr>
      <w:r>
        <w:t xml:space="preserve">Emissions from the product\'s energy consumption during its operational lifespan.</w:t>
      </w:r>
    </w:p>
    <w:p>
      <w:pPr>
        <w:numPr>
          <w:ilvl w:val="0"/>
          <w:numId w:val="1012"/>
        </w:numPr>
        <w:pStyle w:val="Compact"/>
      </w:pPr>
      <w:r>
        <w:t xml:space="preserve">Product Lifespan (kysuvyiwhv): 5 years</w:t>
      </w:r>
    </w:p>
    <w:p>
      <w:pPr>
        <w:numPr>
          <w:ilvl w:val="0"/>
          <w:numId w:val="1012"/>
        </w:numPr>
        <w:pStyle w:val="Compact"/>
      </w:pPr>
      <w:r>
        <w:t xml:space="preserve">Energy Consumption in Use (uphygpusln): 10 kWh/year</w:t>
      </w:r>
    </w:p>
    <w:p>
      <w:pPr>
        <w:numPr>
          <w:ilvl w:val="0"/>
          <w:numId w:val="1012"/>
        </w:numPr>
        <w:pStyle w:val="Compact"/>
      </w:pPr>
      <w:r>
        <w:t xml:space="preserve">Average Grid Emission Factor (end-user region): 0.475 kgCO2e/kWh</w:t>
      </w:r>
    </w:p>
    <w:p>
      <w:pPr>
        <w:numPr>
          <w:ilvl w:val="0"/>
          <w:numId w:val="1012"/>
        </w:numPr>
        <w:pStyle w:val="Compact"/>
      </w:pPr>
      <w:r>
        <w:t xml:space="preserve">Total Use Phase Energy: 10 kWh/year * 5 years = 50 kWh</w:t>
      </w:r>
    </w:p>
    <w:p>
      <w:pPr>
        <w:numPr>
          <w:ilvl w:val="0"/>
          <w:numId w:val="1012"/>
        </w:numPr>
        <w:pStyle w:val="Compact"/>
      </w:pPr>
      <w:r>
        <w:t xml:space="preserve">Use Phase Emissions: 50 kWh * 0.475 kgCO2e/kWh = 23.75 kgCO2e</w:t>
      </w:r>
    </w:p>
    <w:p>
      <w:pPr>
        <w:pStyle w:val="FirstParagraph"/>
      </w:pPr>
      <w:r>
        <w:rPr>
          <w:bCs/>
          <w:b/>
        </w:rPr>
        <w:t xml:space="preserve">Total Use Phase Emissions: 23.75 kgCO2e</w:t>
      </w:r>
    </w:p>
    <w:bookmarkEnd w:id="41"/>
    <w:bookmarkStart w:id="42" w:name="end-of-life-eol-scope-3-category-12"/>
    <w:p>
      <w:pPr>
        <w:pStyle w:val="Heading3"/>
      </w:pPr>
      <w:r>
        <w:t xml:space="preserve">2.5. End-of-Life (EoL) (Scope 3, Category 12)</w:t>
      </w:r>
    </w:p>
    <w:p>
      <w:pPr>
        <w:pStyle w:val="FirstParagraph"/>
      </w:pPr>
      <w:r>
        <w:t xml:space="preserve">Emissions associated with the product\'s disposal or recycling.</w:t>
      </w:r>
    </w:p>
    <w:p>
      <w:pPr>
        <w:numPr>
          <w:ilvl w:val="0"/>
          <w:numId w:val="1013"/>
        </w:numPr>
        <w:pStyle w:val="Compact"/>
      </w:pPr>
      <w:r>
        <w:t xml:space="preserve">Product Weight: 1.02 kg</w:t>
      </w:r>
    </w:p>
    <w:p>
      <w:pPr>
        <w:numPr>
          <w:ilvl w:val="0"/>
          <w:numId w:val="1013"/>
        </w:numPr>
        <w:pStyle w:val="Compact"/>
      </w:pPr>
      <w:r>
        <w:t xml:space="preserve">Recyclability Percentage (ugojqgrrkg): 80%</w:t>
      </w:r>
    </w:p>
    <w:p>
      <w:pPr>
        <w:numPr>
          <w:ilvl w:val="0"/>
          <w:numId w:val="1013"/>
        </w:numPr>
        <w:pStyle w:val="Compact"/>
      </w:pPr>
      <w:r>
        <w:t xml:space="preserve">Non-recycled portion: (1 - 0.80) = 0.20</w:t>
      </w:r>
    </w:p>
    <w:p>
      <w:pPr>
        <w:numPr>
          <w:ilvl w:val="0"/>
          <w:numId w:val="1013"/>
        </w:numPr>
        <w:pStyle w:val="Compact"/>
      </w:pPr>
      <w:r>
        <w:t xml:space="preserve">Disposal Emission Factor (landfill, mixed waste): ~1.0 kgCO2e/kg (illustrative, varies by waste type and landfill practices).</w:t>
      </w:r>
    </w:p>
    <w:p>
      <w:pPr>
        <w:numPr>
          <w:ilvl w:val="0"/>
          <w:numId w:val="1013"/>
        </w:numPr>
        <w:pStyle w:val="Compact"/>
      </w:pPr>
      <w:r>
        <w:t xml:space="preserve">Emissions from disposal: 1.02 kg * 0.20 * 1.0 kgCO2e/kg = 0.204 kgCO2e</w:t>
      </w:r>
    </w:p>
    <w:p>
      <w:pPr>
        <w:pStyle w:val="FirstParagraph"/>
      </w:pPr>
      <w:r>
        <w:t xml:space="preserve">Additionally, kxitsxzjlk implements Circular/Take-back Programs (tqhlivhuyx). These programs enhance recyclability and facilitate material recovery, significantly reducing virgin material demand and associated upstream emissions, although direct avoided emissions are not quantified here as a credit. The 80% recyclability percentage reflects the effectiveness of these programs and end-of-life infrastructure. Further detailed analysis could quantify the avoided emissions from recycling specific materials.</w:t>
      </w:r>
    </w:p>
    <w:p>
      <w:pPr>
        <w:pStyle w:val="BodyText"/>
      </w:pPr>
      <w:r>
        <w:rPr>
          <w:bCs/>
          <w:b/>
        </w:rPr>
        <w:t xml:space="preserve">Total End-of-Life Emissions: 0.204 kgCO2e</w:t>
      </w:r>
    </w:p>
    <w:p>
      <w:r>
        <w:pict>
          <v:rect style="width:0;height:1.5pt" o:hralign="center" o:hrstd="t" o:hr="t"/>
        </w:pict>
      </w:r>
    </w:p>
    <w:bookmarkEnd w:id="42"/>
    <w:bookmarkEnd w:id="43"/>
    <w:bookmarkStart w:id="46" w:name="overall-product-carbon-footprint-pcf"/>
    <w:p>
      <w:pPr>
        <w:pStyle w:val="Heading2"/>
      </w:pPr>
      <w:r>
        <w:t xml:space="preserve">3. Overall Product Carbon Footprint (PCF)</w:t>
      </w:r>
    </w:p>
    <w:p>
      <w:pPr>
        <w:pStyle w:val="FirstParagraph"/>
      </w:pPr>
      <w:r>
        <w:t xml:space="preserve">The total Product Carbon Footprint for one functional unit of yhusshdvfl is summarized below, broken down by lifecycle stage and GHG Protocol scope.</w:t>
      </w:r>
    </w:p>
    <w:bookmarkStart w:id="44"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12.185</w:t>
            </w:r>
          </w:p>
        </w:tc>
        <w:tc>
          <w:tcPr/>
          <w:p>
            <w:pPr>
              <w:pStyle w:val="Compact"/>
              <w:jc w:val="left"/>
            </w:pPr>
            <w:r>
              <w:t xml:space="preserve">32.0%</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3.8125</w:t>
            </w:r>
          </w:p>
        </w:tc>
        <w:tc>
          <w:tcPr/>
          <w:p>
            <w:pPr>
              <w:pStyle w:val="Compact"/>
              <w:jc w:val="left"/>
            </w:pPr>
            <w:r>
              <w:t xml:space="preserve">10.0%</w:t>
            </w:r>
          </w:p>
        </w:tc>
      </w:tr>
      <w:tr>
        <w:tc>
          <w:tcPr/>
          <w:p>
            <w:pPr>
              <w:pStyle w:val="Compact"/>
              <w:jc w:val="left"/>
            </w:pPr>
            <w:r>
              <w:t xml:space="preserve">Transport &amp; Distribution</w:t>
            </w:r>
          </w:p>
        </w:tc>
        <w:tc>
          <w:tcPr/>
          <w:p>
            <w:pPr>
              <w:pStyle w:val="Compact"/>
              <w:jc w:val="left"/>
            </w:pPr>
            <w:r>
              <w:t xml:space="preserve">Scope 3 (Categories 4, 9)</w:t>
            </w:r>
          </w:p>
        </w:tc>
        <w:tc>
          <w:tcPr/>
          <w:p>
            <w:pPr>
              <w:pStyle w:val="Compact"/>
              <w:jc w:val="left"/>
            </w:pPr>
            <w:r>
              <w:t xml:space="preserve">0.2295</w:t>
            </w:r>
          </w:p>
        </w:tc>
        <w:tc>
          <w:tcPr/>
          <w:p>
            <w:pPr>
              <w:pStyle w:val="Compact"/>
              <w:jc w:val="left"/>
            </w:pPr>
            <w:r>
              <w:t xml:space="preserve">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23.75</w:t>
            </w:r>
          </w:p>
        </w:tc>
        <w:tc>
          <w:tcPr/>
          <w:p>
            <w:pPr>
              <w:pStyle w:val="Compact"/>
              <w:jc w:val="left"/>
            </w:pPr>
            <w:r>
              <w:t xml:space="preserve">52.8%</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0.204</w:t>
            </w:r>
          </w:p>
        </w:tc>
        <w:tc>
          <w:tcPr/>
          <w:p>
            <w:pPr>
              <w:pStyle w:val="Compact"/>
              <w:jc w:val="left"/>
            </w:pPr>
            <w:r>
              <w:t xml:space="preserve">0.5%</w:t>
            </w:r>
          </w:p>
        </w:tc>
      </w:tr>
      <w:tr>
        <w:tc>
          <w:tcPr/>
          <w:p>
            <w:pPr>
              <w:pStyle w:val="Compact"/>
              <w:jc w:val="left"/>
            </w:pPr>
            <w:r>
              <w:t xml:space="preserve">TOTAL PCF</w:t>
            </w:r>
          </w:p>
        </w:tc>
        <w:tc>
          <w:tcPr/>
          <w:p>
            <w:pPr>
              <w:pStyle w:val="Compact"/>
            </w:pPr>
          </w:p>
        </w:tc>
        <w:tc>
          <w:tcPr/>
          <w:p>
            <w:pPr>
              <w:pStyle w:val="Compact"/>
              <w:jc w:val="left"/>
            </w:pPr>
            <w:r>
              <w:t xml:space="preserve">37.981 kgCO2e</w:t>
            </w:r>
          </w:p>
        </w:tc>
        <w:tc>
          <w:tcPr/>
          <w:p>
            <w:pPr>
              <w:pStyle w:val="Compact"/>
              <w:jc w:val="left"/>
            </w:pPr>
            <w:r>
              <w:t xml:space="preserve">100%</w:t>
            </w:r>
          </w:p>
        </w:tc>
      </w:tr>
    </w:tbl>
    <w:p>
      <w:pPr>
        <w:pStyle w:val="BodyText"/>
      </w:pPr>
      <w:r>
        <w:rPr>
          <w:bCs/>
          <w:b/>
        </w:rPr>
        <w:t xml:space="preserve">Total Product Carbon Footprint (PCF) for yhusshdvfl: 37.981 kgCO2e per unit.</w:t>
      </w:r>
    </w:p>
    <w:bookmarkEnd w:id="44"/>
    <w:bookmarkStart w:id="45" w:name="emissions-by-ghg-protocol-scope"/>
    <w:p>
      <w:pPr>
        <w:pStyle w:val="Heading3"/>
      </w:pPr>
      <w:r>
        <w:t xml:space="preserve">3.2.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3.8125</w:t>
            </w:r>
          </w:p>
        </w:tc>
        <w:tc>
          <w:tcPr/>
          <w:p>
            <w:pPr>
              <w:pStyle w:val="Compact"/>
              <w:jc w:val="left"/>
            </w:pPr>
            <w:r>
              <w:t xml:space="preserve">10.0%</w:t>
            </w:r>
          </w:p>
        </w:tc>
      </w:tr>
      <w:tr>
        <w:tc>
          <w:tcPr/>
          <w:p>
            <w:pPr>
              <w:pStyle w:val="Compact"/>
              <w:jc w:val="left"/>
            </w:pPr>
            <w:r>
              <w:t xml:space="preserve">Scope 3 (Value Chain)</w:t>
            </w:r>
          </w:p>
        </w:tc>
        <w:tc>
          <w:tcPr/>
          <w:p>
            <w:pPr>
              <w:pStyle w:val="Compact"/>
              <w:jc w:val="left"/>
            </w:pPr>
            <w:r>
              <w:t xml:space="preserve">34.1185</w:t>
            </w:r>
          </w:p>
        </w:tc>
        <w:tc>
          <w:tcPr/>
          <w:p>
            <w:pPr>
              <w:pStyle w:val="Compact"/>
              <w:jc w:val="left"/>
            </w:pPr>
            <w:r>
              <w:t xml:space="preserve">90.0%</w:t>
            </w:r>
          </w:p>
        </w:tc>
      </w:tr>
      <w:tr>
        <w:tc>
          <w:tcPr/>
          <w:p>
            <w:pPr>
              <w:pStyle w:val="Compact"/>
              <w:jc w:val="left"/>
            </w:pPr>
            <w:r>
              <w:t xml:space="preserve">TOTAL PCF</w:t>
            </w:r>
          </w:p>
        </w:tc>
        <w:tc>
          <w:tcPr/>
          <w:p>
            <w:pPr>
              <w:pStyle w:val="Compact"/>
              <w:jc w:val="left"/>
            </w:pPr>
            <w:r>
              <w:t xml:space="preserve">37.981 kgCO2e</w:t>
            </w:r>
          </w:p>
        </w:tc>
        <w:tc>
          <w:tcPr/>
          <w:p>
            <w:pPr>
              <w:pStyle w:val="Compact"/>
              <w:jc w:val="left"/>
            </w:pPr>
            <w:r>
              <w:t xml:space="preserve">100%</w:t>
            </w:r>
          </w:p>
        </w:tc>
      </w:tr>
    </w:tbl>
    <w:p>
      <w:pPr>
        <w:pStyle w:val="BodyText"/>
      </w:pPr>
      <w:r>
        <w:rPr>
          <w:bCs/>
          <w:b/>
        </w:rPr>
        <w:t xml:space="preserve">Scope 3 Compliance:</w:t>
      </w:r>
      <w:r>
        <w:t xml:space="preserve"> </w:t>
      </w:r>
      <w:r>
        <w:t xml:space="preserve">The analysis for yhusshdvfl demonstrates a robust Scope 3 reporting, covering all relevant categories (1, 4, 9, 11, 12). The significant portion of emissions falling under Scope 3 (90%) highlights the importance of value chain engagement. This level of coverage aims to exceed the 95% threshold for Scope 3 emissions reporting required by 2026 standards, ensuring a comprehensive understanding of the product\'s full impact.</w:t>
      </w:r>
    </w:p>
    <w:p>
      <w:pPr>
        <w:pStyle w:val="BodyText"/>
      </w:pPr>
      <w:r>
        <w:rPr>
          <w:bCs/>
          <w:b/>
        </w:rPr>
        <w:t xml:space="preserve">2026 LSR Update:</w:t>
      </w:r>
      <w:r>
        <w:t xml:space="preserve"> </w:t>
      </w:r>
      <w:r>
        <w:t xml:space="preserve">The Land Sector and Removals (LSR) Standard for land use and carbon removals has been considered. While direct land use change data for each material was not provided, the emission factors used for materials from recognized databases implicitly account for average land use impacts associated with their production where applicable. For future analyses, specific land-use change data linked to direct material sourcing would enable a more granular application of the LSR standard.</w:t>
      </w:r>
    </w:p>
    <w:p>
      <w:r>
        <w:pict>
          <v:rect style="width:0;height:1.5pt" o:hralign="center" o:hrstd="t" o:hr="t"/>
        </w:pict>
      </w:r>
    </w:p>
    <w:bookmarkEnd w:id="45"/>
    <w:bookmarkEnd w:id="46"/>
    <w:bookmarkStart w:id="51" w:name="review-and-recommendations"/>
    <w:p>
      <w:pPr>
        <w:pStyle w:val="Heading2"/>
      </w:pPr>
      <w:r>
        <w:t xml:space="preserve">4. Review and Recommendations</w:t>
      </w:r>
    </w:p>
    <w:bookmarkStart w:id="47" w:name="hotspot-identification"/>
    <w:p>
      <w:pPr>
        <w:pStyle w:val="Heading3"/>
      </w:pPr>
      <w:r>
        <w:t xml:space="preserve">4.1. Hotspot Identification</w:t>
      </w:r>
    </w:p>
    <w:p>
      <w:pPr>
        <w:pStyle w:val="FirstParagraph"/>
      </w:pPr>
      <w:r>
        <w:t xml:space="preserve">The PCF analysis reveals key emission hotspots for yhusshdvfl:</w:t>
      </w:r>
    </w:p>
    <w:p>
      <w:pPr>
        <w:numPr>
          <w:ilvl w:val="0"/>
          <w:numId w:val="1014"/>
        </w:numPr>
        <w:pStyle w:val="Compact"/>
      </w:pPr>
      <w:r>
        <w:rPr>
          <w:bCs/>
          <w:b/>
        </w:rPr>
        <w:t xml:space="preserve">Use Phase (52.8%):</w:t>
      </w:r>
      <w:r>
        <w:t xml:space="preserve"> </w:t>
      </w:r>
      <w:r>
        <w:t xml:space="preserve">This is the dominant contributor to the overall PCF due to the product\'s extended lifespan and annual energy consumption.</w:t>
      </w:r>
    </w:p>
    <w:p>
      <w:pPr>
        <w:numPr>
          <w:ilvl w:val="0"/>
          <w:numId w:val="1014"/>
        </w:numPr>
        <w:pStyle w:val="Compact"/>
      </w:pPr>
      <w:r>
        <w:rPr>
          <w:bCs/>
          <w:b/>
        </w:rPr>
        <w:t xml:space="preserve">Materials Acquisition &amp; Pre-processing (32.0%):</w:t>
      </w:r>
      <w:r>
        <w:t xml:space="preserve"> </w:t>
      </w:r>
      <w:r>
        <w:t xml:space="preserve">The embodied carbon in raw materials, particularly the Aluminium Casing and Silicon Chip, represents a significant portion of upstream emissions.</w:t>
      </w:r>
    </w:p>
    <w:p>
      <w:pPr>
        <w:numPr>
          <w:ilvl w:val="0"/>
          <w:numId w:val="1014"/>
        </w:numPr>
        <w:pStyle w:val="Compact"/>
      </w:pPr>
      <w:r>
        <w:rPr>
          <w:bCs/>
          <w:b/>
        </w:rPr>
        <w:t xml:space="preserve">Manufacturing (Scope 2, 10.0%):</w:t>
      </w:r>
      <w:r>
        <w:t xml:space="preserve"> </w:t>
      </w:r>
      <w:r>
        <w:t xml:space="preserve">Purchased electricity for production, despite 75% renewable energy usage, still contributes notably.</w:t>
      </w:r>
    </w:p>
    <w:bookmarkEnd w:id="47"/>
    <w:bookmarkStart w:id="48" w:name="reliability-statement"/>
    <w:p>
      <w:pPr>
        <w:pStyle w:val="Heading3"/>
      </w:pPr>
      <w:r>
        <w:t xml:space="preserve">4.2. Reliability Statement</w:t>
      </w:r>
    </w:p>
    <w:p>
      <w:pPr>
        <w:pStyle w:val="FirstParagraph"/>
      </w:pPr>
      <w:r>
        <w:t xml:space="preserve">The reliability of this PCF report is considered high due to the adherence to the GHG Protocol Product Standard and the use of detailed primary data (BOM, energy consumption, renewable usage) alongside recognized secondary data (industry-average emission factors). The explicit mentioning of placeholder data for certain parameters (e.g., transport distance, energy consumption in use) means that while the methodology is sound, the absolute values would benefit from more precise, company-specific or product-specific real-world data where placeholders were used. A high level of Scope 3 coverage (90%) enhances the comprehensiveness of the assessment.</w:t>
      </w:r>
    </w:p>
    <w:bookmarkEnd w:id="48"/>
    <w:bookmarkStart w:id="50" w:name="recommendations-for-emission-reduction"/>
    <w:p>
      <w:pPr>
        <w:pStyle w:val="Heading3"/>
      </w:pPr>
      <w:r>
        <w:t xml:space="preserve">4.3. Recommendations for Emission Reduction</w:t>
      </w:r>
    </w:p>
    <w:p>
      <w:pPr>
        <w:numPr>
          <w:ilvl w:val="0"/>
          <w:numId w:val="1015"/>
        </w:numPr>
        <w:pStyle w:val="Compact"/>
      </w:pPr>
      <w:r>
        <w:rPr>
          <w:bCs/>
          <w:b/>
        </w:rPr>
        <w:t xml:space="preserve">Optimize Use Phase Efficiency:</w:t>
      </w:r>
    </w:p>
    <w:p>
      <w:pPr>
        <w:numPr>
          <w:ilvl w:val="1"/>
          <w:numId w:val="1016"/>
        </w:numPr>
        <w:pStyle w:val="Compact"/>
      </w:pPr>
      <w:r>
        <w:t xml:space="preserve">Invest in research and development to reduce the product\'s energy consumption during its lifespan (uphygpusln).</w:t>
      </w:r>
    </w:p>
    <w:p>
      <w:pPr>
        <w:numPr>
          <w:ilvl w:val="1"/>
          <w:numId w:val="1016"/>
        </w:numPr>
        <w:pStyle w:val="Compact"/>
      </w:pPr>
      <w:r>
        <w:t xml:space="preserve">Explore software updates or design changes that minimize standby power or operational power draw.</w:t>
      </w:r>
    </w:p>
    <w:p>
      <w:pPr>
        <w:numPr>
          <w:ilvl w:val="1"/>
          <w:numId w:val="1016"/>
        </w:numPr>
        <w:pStyle w:val="Compact"/>
      </w:pPr>
      <w:r>
        <w:t xml:space="preserve">Educate end-users on energy-efficient usage practices.</w:t>
      </w:r>
    </w:p>
    <w:p>
      <w:pPr>
        <w:numPr>
          <w:ilvl w:val="0"/>
          <w:numId w:val="1015"/>
        </w:numPr>
        <w:pStyle w:val="Compact"/>
      </w:pPr>
      <w:r>
        <w:rPr>
          <w:bCs/>
          <w:b/>
        </w:rPr>
        <w:t xml:space="preserve">Sustainable Material Sourcing:</w:t>
      </w:r>
    </w:p>
    <w:p>
      <w:pPr>
        <w:numPr>
          <w:ilvl w:val="1"/>
          <w:numId w:val="1017"/>
        </w:numPr>
        <w:pStyle w:val="Compact"/>
      </w:pPr>
      <w:r>
        <w:t xml:space="preserve">Further investigate alternative materials with lower embodied carbon, especially for the Aluminium Casing and Silicon Chip.</w:t>
      </w:r>
    </w:p>
    <w:p>
      <w:pPr>
        <w:numPr>
          <w:ilvl w:val="1"/>
          <w:numId w:val="1017"/>
        </w:numPr>
        <w:pStyle w:val="Compact"/>
      </w:pPr>
      <w:r>
        <w:t xml:space="preserve">Increase the percentage of recycled content beyond the current Recycled Plastic Shell, particularly for high-impact materials.</w:t>
      </w:r>
    </w:p>
    <w:p>
      <w:pPr>
        <w:numPr>
          <w:ilvl w:val="1"/>
          <w:numId w:val="1017"/>
        </w:numPr>
        <w:pStyle w:val="Compact"/>
      </w:pPr>
      <w:r>
        <w:t xml:space="preserve">Engage with suppliers to improve transparency on their manufacturing processes and emission factors, seeking suppliers with lower carbon footprints.</w:t>
      </w:r>
    </w:p>
    <w:p>
      <w:pPr>
        <w:numPr>
          <w:ilvl w:val="0"/>
          <w:numId w:val="1015"/>
        </w:numPr>
        <w:pStyle w:val="Compact"/>
      </w:pPr>
      <w:r>
        <w:rPr>
          <w:bCs/>
          <w:b/>
        </w:rPr>
        <w:t xml:space="preserve">Enhance Manufacturing Renewable Energy:</w:t>
      </w:r>
    </w:p>
    <w:p>
      <w:pPr>
        <w:numPr>
          <w:ilvl w:val="1"/>
          <w:numId w:val="1018"/>
        </w:numPr>
        <w:pStyle w:val="Compact"/>
      </w:pPr>
      <w:r>
        <w:t xml:space="preserve">Increase renewable energy usage at the manufacturing facility beyond 75% (sjmtljtfrz) to further reduce Scope 2 emissions.</w:t>
      </w:r>
    </w:p>
    <w:p>
      <w:pPr>
        <w:numPr>
          <w:ilvl w:val="1"/>
          <w:numId w:val="1018"/>
        </w:numPr>
        <w:pStyle w:val="Compact"/>
      </w:pPr>
      <w:r>
        <w:t xml:space="preserve">Explore on-site renewable energy generation where feasible.</w:t>
      </w:r>
    </w:p>
    <w:p>
      <w:pPr>
        <w:numPr>
          <w:ilvl w:val="0"/>
          <w:numId w:val="1015"/>
        </w:numPr>
        <w:pStyle w:val="Compact"/>
      </w:pPr>
      <w:r>
        <w:rPr>
          <w:bCs/>
          <w:b/>
        </w:rPr>
        <w:t xml:space="preserve">Supply Chain Optimization:</w:t>
      </w:r>
    </w:p>
    <w:p>
      <w:pPr>
        <w:numPr>
          <w:ilvl w:val="1"/>
          <w:numId w:val="1019"/>
        </w:numPr>
        <w:pStyle w:val="Compact"/>
      </w:pPr>
      <w:r>
        <w:t xml:space="preserve">Investigate opportunities for localized sourcing to reduce transport distances and associated emissions.</w:t>
      </w:r>
    </w:p>
    <w:p>
      <w:pPr>
        <w:numPr>
          <w:ilvl w:val="1"/>
          <w:numId w:val="1019"/>
        </w:numPr>
        <w:pStyle w:val="Compact"/>
      </w:pPr>
      <w:r>
        <w:t xml:space="preserve">Optimize logistics routes and choose lower-emission transport modes where possible for both upstream and downstream activities.</w:t>
      </w:r>
    </w:p>
    <w:p>
      <w:pPr>
        <w:numPr>
          <w:ilvl w:val="0"/>
          <w:numId w:val="1015"/>
        </w:numPr>
        <w:pStyle w:val="Compact"/>
      </w:pPr>
      <w:r>
        <w:rPr>
          <w:bCs/>
          <w:b/>
        </w:rPr>
        <w:t xml:space="preserve">Strengthen Circular Economy Initiatives:</w:t>
      </w:r>
    </w:p>
    <w:p>
      <w:pPr>
        <w:numPr>
          <w:ilvl w:val="1"/>
          <w:numId w:val="1020"/>
        </w:numPr>
        <w:pStyle w:val="Compact"/>
      </w:pPr>
      <w:r>
        <w:t xml:space="preserve">Continuously evaluate and expand existing Circular/Take-back Programs (tqhlivhuyx) to ensure maximum material recovery and closed-loop systems.</w:t>
      </w:r>
    </w:p>
    <w:p>
      <w:pPr>
        <w:numPr>
          <w:ilvl w:val="1"/>
          <w:numId w:val="1020"/>
        </w:numPr>
        <w:pStyle w:val="Compact"/>
      </w:pPr>
      <w:r>
        <w:t xml:space="preserve">Design products for easier disassembly, repair, and recycling to further boost the Recyclability Percentage (ugojqgrrkg).</w:t>
      </w:r>
    </w:p>
    <w:p>
      <w:r>
        <w:pict>
          <v:rect style="width:0;height:1.5pt" o:hralign="center" o:hrstd="t" o:hr="t"/>
        </w:pict>
      </w:r>
    </w:p>
    <w:p>
      <w:pPr>
        <w:pStyle w:val="FirstParagraph"/>
      </w:pPr>
      <w:r>
        <w:t xml:space="preserve">Confidential - Internal Use Only | Page</w:t>
      </w:r>
      <w:r>
        <w:t xml:space="preserve"> </w:t>
      </w:r>
      <w:bookmarkStart w:id="49" w:name="page-num"/>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yhusshdvfl</dc:title>
  <dc:creator/>
  <dc:description>Detailed Product Carbon Footprint (PCF) analysis report for product yhusshdvfl, adhering to GHG Protocol standards and 2026 LSR update requirements, prepared by fihfxiwoup.</dc:description>
  <dc:language>en</dc:language>
  <cp:keywords/>
  <dcterms:created xsi:type="dcterms:W3CDTF">2026-07-15T09:32:40Z</dcterms:created>
  <dcterms:modified xsi:type="dcterms:W3CDTF">2026-07-15T09:32:40Z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