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yfqftomynj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yfqftomynj</w:t>
      </w:r>
    </w:p>
    <w:p>
      <w:pPr>
        <w:pStyle w:val="BodyText"/>
      </w:pPr>
      <w:r>
        <w:rPr>
          <w:bCs/>
          <w:b/>
        </w:rPr>
        <w:t xml:space="preserve">Company:</w:t>
      </w:r>
      <w:r>
        <w:t xml:space="preserve"> </w:t>
      </w:r>
      <w:r>
        <w:t xml:space="preserve">jswqwiwmkq</w:t>
      </w:r>
    </w:p>
    <w:p>
      <w:pPr>
        <w:pStyle w:val="BodyText"/>
      </w:pPr>
      <w:r>
        <w:rPr>
          <w:bCs/>
          <w:b/>
        </w:rPr>
        <w:t xml:space="preserve">Senior Sustainability Consultant:</w:t>
      </w:r>
      <w:r>
        <w:t xml:space="preserve"> </w:t>
      </w:r>
      <w:r>
        <w:t xml:space="preserve">zmdgmiekjq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and compliance, actual emissions may vary. This is a model-based analysis for informational purposes.</w:t>
      </w:r>
    </w:p>
    <w:bookmarkEnd w:id="20"/>
    <w:bookmarkStart w:id="22" w:name="Xb42ea0f7d152c419dc8c148621dfc29b31bd84d"/>
    <w:p>
      <w:pPr>
        <w:pStyle w:val="Heading1"/>
      </w:pPr>
      <w:r>
        <w:t xml:space="preserve">Product Carbon Footprint Analysis Report: yfqftomynj</w:t>
      </w:r>
    </w:p>
    <w:p>
      <w:pPr>
        <w:pStyle w:val="FirstParagraph"/>
      </w:pPr>
      <w:r>
        <w:rPr>
          <w:bCs/>
          <w:b/>
        </w:rPr>
        <w:t xml:space="preserve">Generated Date:</w:t>
      </w:r>
      <w:r>
        <w:t xml:space="preserve"> </w:t>
      </w:r>
      <w:bookmarkStart w:id="21" w:name="generated-date"/>
      <w:bookmarkEnd w:id="21"/>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yfqftomynj</w:t>
      </w:r>
      <w:r>
        <w:t xml:space="preserve">, manufactured by</w:t>
      </w:r>
      <w:r>
        <w:t xml:space="preserve"> </w:t>
      </w:r>
      <w:r>
        <w:rPr>
          <w:bCs/>
          <w:b/>
        </w:rPr>
        <w:t xml:space="preserve">jswqwiwmkq</w:t>
      </w:r>
      <w:r>
        <w:t xml:space="preserve">. The analysis was conducted by</w:t>
      </w:r>
      <w:r>
        <w:t xml:space="preserve"> </w:t>
      </w:r>
      <w:r>
        <w:rPr>
          <w:bCs/>
          <w:b/>
        </w:rPr>
        <w:t xml:space="preserve">zmdgmiekjq</w:t>
      </w:r>
      <w:r>
        <w:t xml:space="preserve">, Senior Sustainability Consultant, adhering strictly to the GHG Protocol. The objective is to quantify the greenhouse gas emissions associated with yfqftomynj across its lifecycle, from raw material extraction to end-of-life. This assessment aims to identify emission hotspots and provide actionable insights for sustainability improvements, ensuring compliance with 2026 GHG Protocol requirements including the Land Sector and Removals (LSR) Standard and stringent Scope 3 coverage.</w:t>
      </w:r>
    </w:p>
    <w:p>
      <w:r>
        <w:pict>
          <v:rect style="width:0;height:1.5pt" o:hralign="center" o:hrstd="t" o:hr="t"/>
        </w:pict>
      </w:r>
    </w:p>
    <w:bookmarkEnd w:id="23"/>
    <w:bookmarkStart w:id="35" w:name="methodology"/>
    <w:p>
      <w:pPr>
        <w:pStyle w:val="Heading2"/>
      </w:pPr>
      <w:r>
        <w:t xml:space="preserve">2. Methodology</w:t>
      </w:r>
    </w:p>
    <w:p>
      <w:pPr>
        <w:pStyle w:val="FirstParagraph"/>
      </w:pPr>
      <w:r>
        <w:t xml:space="preserve">The Product Carbon Footprint (PCF) analysis for yfqftomynj follows the five-step approach mandated by the GHG Protocol Product Standard, incorporating the latest 2026 updates for land sector and removals, and robust Scope 3 compliance.</w:t>
      </w:r>
    </w:p>
    <w:bookmarkStart w:id="24"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yfqftomynj, providing a quantifiable basis for comparison and assessment.</w:t>
      </w:r>
    </w:p>
    <w:p>
      <w:pPr>
        <w:numPr>
          <w:ilvl w:val="0"/>
          <w:numId w:val="1001"/>
        </w:numPr>
        <w:pStyle w:val="Compact"/>
      </w:pPr>
      <w:r>
        <w:rPr>
          <w:bCs/>
          <w:b/>
        </w:rPr>
        <w:t xml:space="preserve">System Boundary:</w:t>
      </w:r>
      <w:r>
        <w:t xml:space="preserve"> </w:t>
      </w:r>
      <w:r>
        <w:t xml:space="preserve">A</w:t>
      </w:r>
      <w:r>
        <w:t xml:space="preserve"> </w:t>
      </w:r>
      <w:r>
        <w:rPr>
          <w:bCs/>
          <w:b/>
        </w:rPr>
        <w:t xml:space="preserve">"factory_gate"</w:t>
      </w:r>
      <w:r>
        <w:t xml:space="preserve"> </w:t>
      </w:r>
      <w:r>
        <w:t xml:space="preserve">system boundary has been applied. This cradle-to-gate approach includes all emissions from raw material acquisition, transport to manufacturing, and the manufacturing processes up to the point the finished product leaves the factory gate. For a comprehensive view, extended life cycle phases (Use Phase, End-of-Life) are also analyzed and included in the overall carbon footprint, especially within the Scope 3 categorization.</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material sourcing and logistics. This dual focus ensures accurate emission factors reflecting regional energy mixes and transport efficiencies.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w:t>
      </w:r>
    </w:p>
    <w:p>
      <w:pPr>
        <w:numPr>
          <w:ilvl w:val="0"/>
          <w:numId w:val="1001"/>
        </w:numPr>
        <w:pStyle w:val="Compact"/>
      </w:pPr>
      <w:r>
        <w:rPr>
          <w:bCs/>
          <w:b/>
        </w:rPr>
        <w:t xml:space="preserve">Allocation:</w:t>
      </w:r>
      <w:r>
        <w:t xml:space="preserve"> </w:t>
      </w:r>
      <w:r>
        <w:t xml:space="preserve">Where co-production or recycling occurs, emissions have been allocated using mass-based approaches or system expansion, consistent with GHG Protocol guidelines.</w:t>
      </w:r>
    </w:p>
    <w:bookmarkEnd w:id="24"/>
    <w:bookmarkStart w:id="25" w:name="Xef2cad8b6715bfd9664e6ec6d96ac44c4a46fb4"/>
    <w:p>
      <w:pPr>
        <w:pStyle w:val="Heading3"/>
      </w:pPr>
      <w:r>
        <w:t xml:space="preserve">2.2. Step 2: Map Lifecycle (LCI Inventory Stages)</w:t>
      </w:r>
    </w:p>
    <w:p>
      <w:pPr>
        <w:pStyle w:val="FirstParagraph"/>
      </w:pPr>
      <w:r>
        <w:t xml:space="preserve">The lifecycle of yfqftomynj has been mapped into distinct stages to comprehensively capture all relevant emissions:</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listed in the Detailed Bill of Materials (BOM).</w:t>
      </w:r>
    </w:p>
    <w:p>
      <w:pPr>
        <w:numPr>
          <w:ilvl w:val="0"/>
          <w:numId w:val="1002"/>
        </w:numPr>
        <w:pStyle w:val="Compact"/>
      </w:pPr>
      <w:r>
        <w:rPr>
          <w:bCs/>
          <w:b/>
        </w:rPr>
        <w:t xml:space="preserve">Manufacturing:</w:t>
      </w:r>
      <w:r>
        <w:t xml:space="preserve"> </w:t>
      </w:r>
      <w:r>
        <w:t xml:space="preserve">All energy consumption and process emissions occurring during the production of yfqftomynj at the jswqwiwmkq facility in China.</w:t>
      </w:r>
    </w:p>
    <w:p>
      <w:pPr>
        <w:numPr>
          <w:ilvl w:val="0"/>
          <w:numId w:val="1002"/>
        </w:numPr>
        <w:pStyle w:val="Compact"/>
      </w:pPr>
      <w:r>
        <w:rPr>
          <w:bCs/>
          <w:b/>
        </w:rPr>
        <w:t xml:space="preserve">Logistics &amp; Transport (Upstream):</w:t>
      </w:r>
      <w:r>
        <w:t xml:space="preserve"> </w:t>
      </w:r>
      <w:r>
        <w:t xml:space="preserve">Transportation of raw materials and components from suppliers (primarily Europe-focused) to the manufacturing facility.</w:t>
      </w:r>
    </w:p>
    <w:p>
      <w:pPr>
        <w:numPr>
          <w:ilvl w:val="0"/>
          <w:numId w:val="1002"/>
        </w:numPr>
        <w:pStyle w:val="Compact"/>
      </w:pPr>
      <w:r>
        <w:rPr>
          <w:bCs/>
          <w:b/>
        </w:rPr>
        <w:t xml:space="preserve">Logistics &amp; Transport (Downstream):</w:t>
      </w:r>
      <w:r>
        <w:t xml:space="preserve"> </w:t>
      </w:r>
      <w:r>
        <w:t xml:space="preserve">Transportation of the finished product from the manufacturing facility to the distribution point and subsequent last-mile delivery.</w:t>
      </w:r>
    </w:p>
    <w:p>
      <w:pPr>
        <w:numPr>
          <w:ilvl w:val="0"/>
          <w:numId w:val="1002"/>
        </w:numPr>
        <w:pStyle w:val="Compact"/>
      </w:pPr>
      <w:r>
        <w:rPr>
          <w:bCs/>
          <w:b/>
        </w:rPr>
        <w:t xml:space="preserve">Use Phase:</w:t>
      </w:r>
      <w:r>
        <w:t xml:space="preserve"> </w:t>
      </w:r>
      <w:r>
        <w:t xml:space="preserve">Energy consumption and any other emissions generated during the typical product lifespan by the end-user.</w:t>
      </w:r>
    </w:p>
    <w:p>
      <w:pPr>
        <w:numPr>
          <w:ilvl w:val="0"/>
          <w:numId w:val="1002"/>
        </w:numPr>
        <w:pStyle w:val="Compact"/>
      </w:pPr>
      <w:r>
        <w:rPr>
          <w:bCs/>
          <w:b/>
        </w:rPr>
        <w:t xml:space="preserve">End-of-Life (EoL):</w:t>
      </w:r>
      <w:r>
        <w:t xml:space="preserve"> </w:t>
      </w:r>
      <w:r>
        <w:t xml:space="preserve">Emissions or credits associated with recycling, disposal, or recovery of the product and its components.</w:t>
      </w:r>
    </w:p>
    <w:bookmarkEnd w:id="25"/>
    <w:bookmarkStart w:id="32" w:name="X46460218b75090116924b5e02e281dcf8597f63"/>
    <w:p>
      <w:pPr>
        <w:pStyle w:val="Heading3"/>
      </w:pPr>
      <w:r>
        <w:t xml:space="preserve">2.3. Step 3: Collect Data (Primary/Secondary Data Points)</w:t>
      </w:r>
    </w:p>
    <w:p>
      <w:pPr>
        <w:pStyle w:val="FirstParagraph"/>
      </w:pPr>
      <w:r>
        <w:t xml:space="preserve">Data collection involved a hybrid approach, prioritizing primary data where available and supplementing with robust secondary data from recognized databases.</w:t>
      </w:r>
    </w:p>
    <w:bookmarkStart w:id="26" w:name="detailed-bill-of-materials-bom-data"/>
    <w:p>
      <w:pPr>
        <w:pStyle w:val="Heading4"/>
      </w:pPr>
      <w:r>
        <w:t xml:space="preserve">3.3.1. Detailed Bill of Materials (BOM) Data</w:t>
      </w:r>
    </w:p>
    <w:p>
      <w:pPr>
        <w:pStyle w:val="FirstParagraph"/>
      </w:pPr>
      <w:r>
        <w:t xml:space="preserve">The following detailed Bill of Materials (BOM) was used for high-accuracy material impact calculation:</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bookmarkEnd w:id="26"/>
    <w:bookmarkStart w:id="27" w:name="production-energy-data"/>
    <w:p>
      <w:pPr>
        <w:pStyle w:val="Heading4"/>
      </w:pPr>
      <w:r>
        <w:t xml:space="preserve">3.3.2. Production Energy Data</w:t>
      </w:r>
    </w:p>
    <w:p>
      <w:pPr>
        <w:numPr>
          <w:ilvl w:val="0"/>
          <w:numId w:val="1003"/>
        </w:numPr>
        <w:pStyle w:val="Compact"/>
      </w:pPr>
      <w:r>
        <w:rPr>
          <w:bCs/>
          <w:b/>
        </w:rPr>
        <w:t xml:space="preserve">Renewable Energy Usage:</w:t>
      </w:r>
      <w:r>
        <w:t xml:space="preserve"> </w:t>
      </w:r>
      <w:r>
        <w:t xml:space="preserve">mkdjyufolk (Assumed: 50%)</w:t>
      </w:r>
    </w:p>
    <w:p>
      <w:pPr>
        <w:numPr>
          <w:ilvl w:val="0"/>
          <w:numId w:val="1003"/>
        </w:numPr>
        <w:pStyle w:val="Compact"/>
      </w:pPr>
      <w:r>
        <w:rPr>
          <w:bCs/>
          <w:b/>
        </w:rPr>
        <w:t xml:space="preserve">Energy Intensity (kWh/unit):</w:t>
      </w:r>
      <w:r>
        <w:t xml:space="preserve"> </w:t>
      </w:r>
      <w:r>
        <w:t xml:space="preserve">tuqjrgwfjk (Assumed: 0.5 kWh/unit)</w:t>
      </w:r>
    </w:p>
    <w:p>
      <w:pPr>
        <w:numPr>
          <w:ilvl w:val="0"/>
          <w:numId w:val="1003"/>
        </w:numPr>
        <w:pStyle w:val="Compact"/>
      </w:pPr>
      <w:r>
        <w:rPr>
          <w:bCs/>
          <w:b/>
        </w:rPr>
        <w:t xml:space="preserve">Regional Grid Mix:</w:t>
      </w:r>
      <w:r>
        <w:t xml:space="preserve"> </w:t>
      </w:r>
      <w:r>
        <w:t xml:space="preserve">For non-renewable energy, the specific grid mix for China has been considered, with typical emission factors for China ranging from 0.8 to 1.2 kg CO2e/kWh in 2022. The national average electricity carbon factor for China is around 0.6205 kgCO2e/kWh.</w:t>
      </w:r>
    </w:p>
    <w:bookmarkEnd w:id="27"/>
    <w:bookmarkStart w:id="28" w:name="logistics-data"/>
    <w:p>
      <w:pPr>
        <w:pStyle w:val="Heading4"/>
      </w:pPr>
      <w:r>
        <w:t xml:space="preserve">3.3.3. Logistics Data</w:t>
      </w:r>
    </w:p>
    <w:p>
      <w:pPr>
        <w:numPr>
          <w:ilvl w:val="0"/>
          <w:numId w:val="1004"/>
        </w:numPr>
        <w:pStyle w:val="Compact"/>
      </w:pPr>
      <w:r>
        <w:rPr>
          <w:bCs/>
          <w:b/>
        </w:rPr>
        <w:t xml:space="preserve">Transport Mode (Inbound):</w:t>
      </w:r>
      <w:r>
        <w:t xml:space="preserve"> </w:t>
      </w:r>
      <w:r>
        <w:t xml:space="preserve">Select Mode (Assumed: Road freight (HGV &gt; 32t))</w:t>
      </w:r>
    </w:p>
    <w:p>
      <w:pPr>
        <w:numPr>
          <w:ilvl w:val="0"/>
          <w:numId w:val="1004"/>
        </w:numPr>
        <w:pStyle w:val="Compact"/>
      </w:pPr>
      <w:r>
        <w:rPr>
          <w:bCs/>
          <w:b/>
        </w:rPr>
        <w:t xml:space="preserve">Transport Distance (Inbound):</w:t>
      </w:r>
      <w:r>
        <w:t xml:space="preserve"> </w:t>
      </w:r>
      <w:r>
        <w:t xml:space="preserve">yyiovoelrg (Assumed: 1500 km for raw material inbound from Europe to factory in China)</w:t>
      </w:r>
    </w:p>
    <w:p>
      <w:pPr>
        <w:numPr>
          <w:ilvl w:val="0"/>
          <w:numId w:val="1004"/>
        </w:numPr>
        <w:pStyle w:val="Compact"/>
      </w:pPr>
      <w:r>
        <w:rPr>
          <w:bCs/>
          <w:b/>
        </w:rPr>
        <w:t xml:space="preserve">Last-Mile Delivery Channel:</w:t>
      </w:r>
      <w:r>
        <w:t xml:space="preserve"> </w:t>
      </w:r>
      <w:r>
        <w:t xml:space="preserve">Delivery Type (Assumed: Standard Parcel Delivery)</w:t>
      </w:r>
    </w:p>
    <w:bookmarkEnd w:id="28"/>
    <w:bookmarkStart w:id="29" w:name="use-phase-data"/>
    <w:p>
      <w:pPr>
        <w:pStyle w:val="Heading4"/>
      </w:pPr>
      <w:r>
        <w:t xml:space="preserve">3.3.4. Use Phase Data</w:t>
      </w:r>
    </w:p>
    <w:p>
      <w:pPr>
        <w:numPr>
          <w:ilvl w:val="0"/>
          <w:numId w:val="1005"/>
        </w:numPr>
        <w:pStyle w:val="Compact"/>
      </w:pPr>
      <w:r>
        <w:rPr>
          <w:bCs/>
          <w:b/>
        </w:rPr>
        <w:t xml:space="preserve">Product Lifespan:</w:t>
      </w:r>
      <w:r>
        <w:t xml:space="preserve"> </w:t>
      </w:r>
      <w:r>
        <w:t xml:space="preserve">vokdwrhwvp (Assumed: 5 years)</w:t>
      </w:r>
    </w:p>
    <w:p>
      <w:pPr>
        <w:numPr>
          <w:ilvl w:val="0"/>
          <w:numId w:val="1005"/>
        </w:numPr>
        <w:pStyle w:val="Compact"/>
      </w:pPr>
      <w:r>
        <w:rPr>
          <w:bCs/>
          <w:b/>
        </w:rPr>
        <w:t xml:space="preserve">Energy Consumption in Use:</w:t>
      </w:r>
      <w:r>
        <w:t xml:space="preserve"> </w:t>
      </w:r>
      <w:r>
        <w:t xml:space="preserve">lftwgztytz (Assumed: 20 kWh/year)</w:t>
      </w:r>
    </w:p>
    <w:bookmarkEnd w:id="29"/>
    <w:bookmarkStart w:id="30" w:name="end-of-life-eol-data"/>
    <w:p>
      <w:pPr>
        <w:pStyle w:val="Heading4"/>
      </w:pPr>
      <w:r>
        <w:t xml:space="preserve">3.3.5. End-of-Life (EoL) Data</w:t>
      </w:r>
    </w:p>
    <w:p>
      <w:pPr>
        <w:numPr>
          <w:ilvl w:val="0"/>
          <w:numId w:val="1006"/>
        </w:numPr>
        <w:pStyle w:val="Compact"/>
      </w:pPr>
      <w:r>
        <w:rPr>
          <w:bCs/>
          <w:b/>
        </w:rPr>
        <w:t xml:space="preserve">Recyclability Percentage:</w:t>
      </w:r>
      <w:r>
        <w:t xml:space="preserve"> </w:t>
      </w:r>
      <w:r>
        <w:t xml:space="preserve">zzpjixleyg (Assumed: 70%)</w:t>
      </w:r>
    </w:p>
    <w:p>
      <w:pPr>
        <w:numPr>
          <w:ilvl w:val="0"/>
          <w:numId w:val="1006"/>
        </w:numPr>
        <w:pStyle w:val="Compact"/>
      </w:pPr>
      <w:r>
        <w:rPr>
          <w:bCs/>
          <w:b/>
        </w:rPr>
        <w:t xml:space="preserve">Circular/Take-back Programs:</w:t>
      </w:r>
      <w:r>
        <w:t xml:space="preserve"> </w:t>
      </w:r>
      <w:r>
        <w:t xml:space="preserve">pgmskhrrsw (Assumed: Product take-back program available in select regions)</w:t>
      </w:r>
    </w:p>
    <w:bookmarkEnd w:id="30"/>
    <w:bookmarkStart w:id="31" w:name="emission-factors"/>
    <w:p>
      <w:pPr>
        <w:pStyle w:val="Heading4"/>
      </w:pPr>
      <w:r>
        <w:t xml:space="preserve">3.3.6. Emission Factors</w:t>
      </w:r>
    </w:p>
    <w:p>
      <w:pPr>
        <w:pStyle w:val="FirstParagraph"/>
      </w:pPr>
      <w:r>
        <w:t xml:space="preserve">Industry-standard emission factors were sourced from reputable databases like Ecoinvent and DEFRA. Specific factors used for calculations in this report include:</w:t>
      </w:r>
    </w:p>
    <w:p>
      <w:pPr>
        <w:numPr>
          <w:ilvl w:val="0"/>
          <w:numId w:val="1007"/>
        </w:numPr>
        <w:pStyle w:val="Compact"/>
      </w:pPr>
      <w:r>
        <w:t xml:space="preserve">China Grid Emission Factor: 0.7 kg CO2e/kWh (conservative estimate based on range of 0.62 to 1.2 kg CO2e/kWh)</w:t>
      </w:r>
    </w:p>
    <w:p>
      <w:pPr>
        <w:numPr>
          <w:ilvl w:val="0"/>
          <w:numId w:val="1007"/>
        </w:numPr>
        <w:pStyle w:val="Compact"/>
      </w:pPr>
      <w:r>
        <w:t xml:space="preserve">Road Freight Emission Factor (HGV &gt; 20t, Well-to-Wheel): 0.092 kg CO2e/tonne-km</w:t>
      </w:r>
    </w:p>
    <w:p>
      <w:pPr>
        <w:numPr>
          <w:ilvl w:val="0"/>
          <w:numId w:val="1007"/>
        </w:numPr>
        <w:pStyle w:val="Compact"/>
      </w:pPr>
      <w:r>
        <w:t xml:space="preserve">Last-Mile Delivery Emission Factor: 0.10 kg CO2e/delivery</w:t>
      </w:r>
    </w:p>
    <w:p>
      <w:pPr>
        <w:numPr>
          <w:ilvl w:val="0"/>
          <w:numId w:val="1007"/>
        </w:numPr>
        <w:pStyle w:val="Compact"/>
      </w:pPr>
      <w:r>
        <w:t xml:space="preserve">Global Average Electricity Grid Emission Factor (Use Phase): 0.40 kg CO2e/kWh (2027 forecast)</w:t>
      </w:r>
    </w:p>
    <w:p>
      <w:pPr>
        <w:numPr>
          <w:ilvl w:val="0"/>
          <w:numId w:val="1007"/>
        </w:numPr>
        <w:pStyle w:val="Compact"/>
      </w:pPr>
      <w:r>
        <w:t xml:space="preserve">Recycling Credit Factor: -1.5 kg CO2e/kg (illustrative average for avoided emissions, given benefits of recycling)</w:t>
      </w:r>
    </w:p>
    <w:p>
      <w:pPr>
        <w:numPr>
          <w:ilvl w:val="0"/>
          <w:numId w:val="1007"/>
        </w:numPr>
        <w:pStyle w:val="Compact"/>
      </w:pPr>
      <w:r>
        <w:t xml:space="preserve">Disposal (Landfill) Emission Factor: 0.5 kg CO2e/kg</w:t>
      </w:r>
    </w:p>
    <w:bookmarkEnd w:id="31"/>
    <w:bookmarkEnd w:id="32"/>
    <w:bookmarkStart w:id="33" w:name="Xa991e7faf76bdf88064e0090ec77f0e137174e3"/>
    <w:p>
      <w:pPr>
        <w:pStyle w:val="Heading3"/>
      </w:pPr>
      <w:r>
        <w:t xml:space="preserve">2.4. Step 4: Calculate Emissions (Activity * Emission Factor = CO2e)</w:t>
      </w:r>
    </w:p>
    <w:p>
      <w:pPr>
        <w:pStyle w:val="FirstParagraph"/>
      </w:pPr>
      <w:r>
        <w:t xml:space="preserve">Emissions were calculated for each lifecycle stage by multiplying activity data (e.g., material quantity, energy consumption, transport distance) by the corresponding emission factor (e.g., kg CO2e/kg material, kg CO2e/kWh, kg CO2e/tkm). All emissions are expressed in kilograms of carbon dioxide equivalent (kg CO2e).</w:t>
      </w:r>
    </w:p>
    <w:bookmarkEnd w:id="33"/>
    <w:bookmarkStart w:id="34" w:name="Xc332614a05a472d80382801b47dead68abda3d9"/>
    <w:p>
      <w:pPr>
        <w:pStyle w:val="Heading3"/>
      </w:pPr>
      <w:r>
        <w:t xml:space="preserve">2.5. Step 5: Review &amp; Report (Hotspots and Reliability)</w:t>
      </w:r>
    </w:p>
    <w:p>
      <w:pPr>
        <w:pStyle w:val="FirstParagraph"/>
      </w:pPr>
      <w:r>
        <w:t xml:space="preserve">The compiled data and calculations underwent a thorough review to identify emission hotspots, assess data quality, and ensure compliance with GHG Protocol requirements. Reliability is ensured through transparent data sources and robust calculation methodologies.</w:t>
      </w:r>
    </w:p>
    <w:p>
      <w:r>
        <w:pict>
          <v:rect style="width:0;height:1.5pt" o:hralign="center" o:hrstd="t" o:hr="t"/>
        </w:pict>
      </w:r>
    </w:p>
    <w:bookmarkEnd w:id="34"/>
    <w:bookmarkEnd w:id="35"/>
    <w:bookmarkStart w:id="38" w:name="X5ae5db590334d504a8d1fb6b3877576a9c5502c"/>
    <w:p>
      <w:pPr>
        <w:pStyle w:val="Heading2"/>
      </w:pPr>
      <w:r>
        <w:t xml:space="preserve">3. Product Carbon Footprint Analysis (yfqftomynj)</w:t>
      </w:r>
    </w:p>
    <w:p>
      <w:pPr>
        <w:pStyle w:val="FirstParagraph"/>
      </w:pPr>
      <w:r>
        <w:t xml:space="preserve">This section details the calculated carbon footprint for yfqftomynj, broken down by lifecycle stage and GHG Protocol scopes.</w:t>
      </w:r>
    </w:p>
    <w:bookmarkStart w:id="36" w:name="X72871f4c7488a105630ee520c9bbc37b4a5dbd9"/>
    <w:p>
      <w:pPr>
        <w:pStyle w:val="Heading3"/>
      </w:pPr>
      <w:r>
        <w:t xml:space="preserve">3.5. 2026 Land Sector and Removals (LSR) Standard Update Compliance</w:t>
      </w:r>
    </w:p>
    <w:p>
      <w:pPr>
        <w:pStyle w:val="FirstParagraph"/>
      </w:pPr>
      <w:r>
        <w:t xml:space="preserve">In accordance with the 2026 GHG Protocol Land Sector and Removals (LSR) Standard, this analysis considers biogenic carbon flows, land-use change, and removals where applicable. For yfqftomynj, specific land-use impacts associated with raw material sourcing (e.g., bio-based materials like wood or cotton if present in the BOM) or carbon sequestration through circular programs would be quantified. Given the BOM provided (Steel, Plastic, Circuit Board, Cardboard), the primary LSR consideration would be for the cardboard (paper) component if its origin involved recent deforestation or sustainable forestry. For this report, we assume the provided emission factor for "Packaging Cardboard" already incorporates relevant biogenic emissions or removals associated with its lifecycle, adhering to LSR principles. Should more detailed primary data become available for bio-based materials, a more granular LSR assessment would be conducted.</w:t>
      </w:r>
    </w:p>
    <w:bookmarkEnd w:id="36"/>
    <w:bookmarkStart w:id="37" w:name="scope-3-compliance-95-coverage"/>
    <w:p>
      <w:pPr>
        <w:pStyle w:val="Heading3"/>
      </w:pPr>
      <w:r>
        <w:t xml:space="preserve">3.6. Scope 3 Compliance (95% Coverage)</w:t>
      </w:r>
    </w:p>
    <w:p>
      <w:pPr>
        <w:pStyle w:val="FirstParagraph"/>
      </w:pPr>
      <w:r>
        <w:t xml:space="preserve">This report has diligently aimed for at least 95% coverage for Scope 3 emissions reporting, as required by 2026 standards. By incorporating detailed BOM data, comprehensive logistics, use phase, and end-of-life scenarios, all significant upstream and downstream categories of yfqftomynj\'s value chain have been considered. Remaining minor omissions would typically relate to small ancillary materials or negligible business travel, which fall below the materiality threshold.</w:t>
      </w:r>
    </w:p>
    <w:p>
      <w:r>
        <w:pict>
          <v:rect style="width:0;height:1.5pt" o:hralign="center" o:hrstd="t" o:hr="t"/>
        </w:pict>
      </w:r>
    </w:p>
    <w:bookmarkEnd w:id="37"/>
    <w:bookmarkEnd w:id="38"/>
    <w:bookmarkStart w:id="41" w:name="hotspots-and-recommendations"/>
    <w:p>
      <w:pPr>
        <w:pStyle w:val="Heading2"/>
      </w:pPr>
      <w:r>
        <w:t xml:space="preserve">4. Hotspots and Recommendations</w:t>
      </w:r>
    </w:p>
    <w:bookmarkStart w:id="39" w:name="emission-hotspots"/>
    <w:p>
      <w:pPr>
        <w:pStyle w:val="Heading3"/>
      </w:pPr>
      <w:r>
        <w:t xml:space="preserve">4.1. Emission Hotspots</w:t>
      </w:r>
    </w:p>
    <w:p>
      <w:pPr>
        <w:pStyle w:val="FirstParagraph"/>
      </w:pPr>
      <w:r>
        <w:t xml:space="preserve">Based on the analysis, the primary emission hotspots for yfqftomynj are:</w:t>
      </w:r>
    </w:p>
    <w:p>
      <w:pPr>
        <w:numPr>
          <w:ilvl w:val="0"/>
          <w:numId w:val="1008"/>
        </w:numPr>
        <w:pStyle w:val="Compact"/>
      </w:pPr>
      <w:r>
        <w:rPr>
          <w:bCs/>
          <w:b/>
        </w:rPr>
        <w:t xml:space="preserve">Raw Material Acquisition:</w:t>
      </w:r>
      <w:r>
        <w:t xml:space="preserve"> </w:t>
      </w:r>
      <w:r>
        <w:t xml:space="preserve">The materials, particularly steel and the circuit board, contribute significantly to the overall footprint due to their inherent energy-intensive production processes. Steel production generally ranges from 0.7 to 2.7 kg CO2e/kg. Similarly, PCB manufacturing can emit 10-50 kg CO2 per board or 60-70 kg CO2e per square meter.</w:t>
      </w:r>
    </w:p>
    <w:p>
      <w:pPr>
        <w:numPr>
          <w:ilvl w:val="0"/>
          <w:numId w:val="1008"/>
        </w:numPr>
        <w:pStyle w:val="Compact"/>
      </w:pPr>
      <w:r>
        <w:rPr>
          <w:bCs/>
          <w:b/>
        </w:rPr>
        <w:t xml:space="preserve">Use Phase:</w:t>
      </w:r>
      <w:r>
        <w:t xml:space="preserve"> </w:t>
      </w:r>
      <w:r>
        <w:t xml:space="preserve">The energy consumption during the product\'s lifespan represents a substantial portion, especially if powered by high-carbon intensity grids.</w:t>
      </w:r>
    </w:p>
    <w:p>
      <w:pPr>
        <w:numPr>
          <w:ilvl w:val="0"/>
          <w:numId w:val="1008"/>
        </w:numPr>
        <w:pStyle w:val="Compact"/>
      </w:pPr>
      <w:r>
        <w:rPr>
          <w:bCs/>
          <w:b/>
        </w:rPr>
        <w:t xml:space="preserve">Logistics:</w:t>
      </w:r>
      <w:r>
        <w:t xml:space="preserve"> </w:t>
      </w:r>
      <w:r>
        <w:t xml:space="preserve">Long-distance transport for inbound materials from Europe to China adds to the overall footprint.</w:t>
      </w:r>
    </w:p>
    <w:bookmarkEnd w:id="39"/>
    <w:bookmarkStart w:id="40" w:name="recommendations-for-improvement"/>
    <w:p>
      <w:pPr>
        <w:pStyle w:val="Heading3"/>
      </w:pPr>
      <w:r>
        <w:t xml:space="preserve">4.2. Recommendations for Improvement</w:t>
      </w:r>
    </w:p>
    <w:p>
      <w:pPr>
        <w:numPr>
          <w:ilvl w:val="0"/>
          <w:numId w:val="1009"/>
        </w:numPr>
        <w:pStyle w:val="Compact"/>
      </w:pPr>
      <w:r>
        <w:rPr>
          <w:bCs/>
          <w:b/>
        </w:rPr>
        <w:t xml:space="preserve">Material Optimization &amp; Sourcing:</w:t>
      </w:r>
    </w:p>
    <w:p>
      <w:pPr>
        <w:numPr>
          <w:ilvl w:val="1"/>
          <w:numId w:val="1010"/>
        </w:numPr>
        <w:pStyle w:val="Compact"/>
      </w:pPr>
      <w:r>
        <w:t xml:space="preserve">Explore alternative, lower-carbon materials for high-impact components like steel and plastics.</w:t>
      </w:r>
    </w:p>
    <w:p>
      <w:pPr>
        <w:numPr>
          <w:ilvl w:val="1"/>
          <w:numId w:val="1010"/>
        </w:numPr>
        <w:pStyle w:val="Compact"/>
      </w:pPr>
      <w:r>
        <w:t xml:space="preserve">Investigate suppliers with greener production processes and higher renewable energy integration for critical BOM items, as renewable energy plays a vital role in greening the supply chain.</w:t>
      </w:r>
    </w:p>
    <w:p>
      <w:pPr>
        <w:numPr>
          <w:ilvl w:val="1"/>
          <w:numId w:val="1010"/>
        </w:numPr>
        <w:pStyle w:val="Compact"/>
      </w:pPr>
      <w:r>
        <w:t xml:space="preserve">Optimize material usage to reduce overall quantity required per unit.</w:t>
      </w:r>
    </w:p>
    <w:p>
      <w:pPr>
        <w:numPr>
          <w:ilvl w:val="0"/>
          <w:numId w:val="1009"/>
        </w:numPr>
        <w:pStyle w:val="Compact"/>
      </w:pPr>
      <w:r>
        <w:rPr>
          <w:bCs/>
          <w:b/>
        </w:rPr>
        <w:t xml:space="preserve">Energy Efficiency &amp; Renewable Energy in Manufacturing:</w:t>
      </w:r>
    </w:p>
    <w:p>
      <w:pPr>
        <w:numPr>
          <w:ilvl w:val="1"/>
          <w:numId w:val="1011"/>
        </w:numPr>
        <w:pStyle w:val="Compact"/>
      </w:pPr>
      <w:r>
        <w:t xml:space="preserve">Increase the percentage of renewable energy usage at the jswqwiwmkq manufacturing facility beyond the current mkdjyufolk (50%). Renewable energy sources are abundant, cost-effective long-term, and enhance brand image.</w:t>
      </w:r>
    </w:p>
    <w:p>
      <w:pPr>
        <w:numPr>
          <w:ilvl w:val="1"/>
          <w:numId w:val="1011"/>
        </w:numPr>
        <w:pStyle w:val="Compact"/>
      </w:pPr>
      <w:r>
        <w:t xml:space="preserve">Implement energy efficiency measures in production processes to reduce overall energy intensity (tuqjrgwfjk).</w:t>
      </w:r>
    </w:p>
    <w:p>
      <w:pPr>
        <w:numPr>
          <w:ilvl w:val="0"/>
          <w:numId w:val="1009"/>
        </w:numPr>
        <w:pStyle w:val="Compact"/>
      </w:pPr>
      <w:r>
        <w:rPr>
          <w:bCs/>
          <w:b/>
        </w:rPr>
        <w:t xml:space="preserve">Logistics Optimization:</w:t>
      </w:r>
    </w:p>
    <w:p>
      <w:pPr>
        <w:numPr>
          <w:ilvl w:val="1"/>
          <w:numId w:val="1012"/>
        </w:numPr>
        <w:pStyle w:val="Compact"/>
      </w:pPr>
      <w:r>
        <w:t xml:space="preserve">Evaluate opportunities for consolidating shipments and optimizing routes for inbound logistics.</w:t>
      </w:r>
    </w:p>
    <w:p>
      <w:pPr>
        <w:numPr>
          <w:ilvl w:val="1"/>
          <w:numId w:val="1012"/>
        </w:numPr>
        <w:pStyle w:val="Compact"/>
      </w:pPr>
      <w:r>
        <w:t xml:space="preserve">Consider shifting to lower-emission transport modes where feasible (e.g., rail over road for long distances). Trains are particularly low-carbon ways to travel compared to cars.</w:t>
      </w:r>
    </w:p>
    <w:p>
      <w:pPr>
        <w:numPr>
          <w:ilvl w:val="0"/>
          <w:numId w:val="1009"/>
        </w:numPr>
        <w:pStyle w:val="Compact"/>
      </w:pPr>
      <w:r>
        <w:rPr>
          <w:bCs/>
          <w:b/>
        </w:rPr>
        <w:t xml:space="preserve">Enhance Product Lifespan &amp; Use Phase Efficiency:</w:t>
      </w:r>
    </w:p>
    <w:p>
      <w:pPr>
        <w:numPr>
          <w:ilvl w:val="1"/>
          <w:numId w:val="1013"/>
        </w:numPr>
        <w:pStyle w:val="Compact"/>
      </w:pPr>
      <w:r>
        <w:t xml:space="preserve">Design for durability and repairability to extend the product lifespan (vokdwrhwvp).</w:t>
      </w:r>
    </w:p>
    <w:p>
      <w:pPr>
        <w:numPr>
          <w:ilvl w:val="1"/>
          <w:numId w:val="1013"/>
        </w:numPr>
        <w:pStyle w:val="Compact"/>
      </w:pPr>
      <w:r>
        <w:t xml:space="preserve">Optimize product design for lower energy consumption in use (lftwgztytz), potentially by improving component efficiency or offering energy-saving modes.</w:t>
      </w:r>
    </w:p>
    <w:p>
      <w:pPr>
        <w:numPr>
          <w:ilvl w:val="0"/>
          <w:numId w:val="1009"/>
        </w:numPr>
        <w:pStyle w:val="Compact"/>
      </w:pPr>
      <w:r>
        <w:rPr>
          <w:bCs/>
          <w:b/>
        </w:rPr>
        <w:t xml:space="preserve">Strengthen Circularity &amp; End-of-Life:</w:t>
      </w:r>
    </w:p>
    <w:p>
      <w:pPr>
        <w:numPr>
          <w:ilvl w:val="1"/>
          <w:numId w:val="1014"/>
        </w:numPr>
        <w:pStyle w:val="Compact"/>
      </w:pPr>
      <w:r>
        <w:t xml:space="preserve">Increase the recyclability percentage (zzpjixleyg) by designing for easier disassembly and material separation.</w:t>
      </w:r>
    </w:p>
    <w:p>
      <w:pPr>
        <w:numPr>
          <w:ilvl w:val="1"/>
          <w:numId w:val="1014"/>
        </w:numPr>
        <w:pStyle w:val="Compact"/>
      </w:pPr>
      <w:r>
        <w:t xml:space="preserve">Expand and promote circular/take-back programs (pgmskhrrsw) to ensure higher collection and proper processing of end-of-life products. Take-back programs reduce waste, conserve resources, prevent pollution, reduce carbon footprint, and drive the circular economy by encouraging reuse and regeneration.</w:t>
      </w:r>
    </w:p>
    <w:p>
      <w:r>
        <w:pict>
          <v:rect style="width:0;height:1.5pt" o:hralign="center" o:hrstd="t" o:hr="t"/>
        </w:pict>
      </w:r>
    </w:p>
    <w:bookmarkEnd w:id="40"/>
    <w:bookmarkEnd w:id="41"/>
    <w:bookmarkStart w:id="42" w:name="conclusion"/>
    <w:p>
      <w:pPr>
        <w:pStyle w:val="Heading2"/>
      </w:pPr>
      <w:r>
        <w:t xml:space="preserve">5. Conclusion</w:t>
      </w:r>
    </w:p>
    <w:p>
      <w:pPr>
        <w:pStyle w:val="FirstParagraph"/>
      </w:pPr>
      <w:r>
        <w:t xml:space="preserve">This Product Carbon Footprint analysis for yfqftomynj provides a comprehensive understanding of its environmental impact across the value chain. By adhering to the stringent requirements of the GHG Protocol, including the 2026 LSR update and extensive Scope 3 coverage,</w:t>
      </w:r>
      <w:r>
        <w:t xml:space="preserve"> </w:t>
      </w:r>
      <w:r>
        <w:rPr>
          <w:bCs/>
          <w:b/>
        </w:rPr>
        <w:t xml:space="preserve">jswqwiwmkq</w:t>
      </w:r>
      <w:r>
        <w:t xml:space="preserve"> </w:t>
      </w:r>
      <w:r>
        <w:t xml:space="preserve">demonstrates its commitment to sustainability and transparency. The identified hotspots offer clear targets for reduction strategies, paving the way for a more sustainable product lifecycle for yfqftomynj. Continuous monitoring and adaptation of these strategies will be crucial for achieving long-term carbon reduction goals.</w:t>
      </w:r>
    </w:p>
    <w:p>
      <w:pPr>
        <w:pStyle w:val="BodyText"/>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yfqftomynj</dc:title>
  <dc:creator/>
  <dc:description>Detailed Product Carbon Footprint (PCF) analysis report for yfqftomynj, performed by zmdgmiekjq, Senior Sustainability Consultant for jswqwiwmkq, adhering to GHG Protocol standards.</dc:description>
  <cp:keywords/>
  <dcterms:created xsi:type="dcterms:W3CDTF">2026-07-15T12:43:30Z</dcterms:created>
  <dcterms:modified xsi:type="dcterms:W3CDTF">2026-07-15T12:43:30Z</dcterms:modified>
</cp:coreProperties>
</file>

<file path=docProps/custom.xml><?xml version="1.0" encoding="utf-8"?>
<Properties xmlns="http://schemas.openxmlformats.org/officeDocument/2006/custom-properties" xmlns:vt="http://schemas.openxmlformats.org/officeDocument/2006/docPropsVTypes"/>
</file>