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yfmguuhqro</w:t>
      </w:r>
    </w:p>
    <w:p>
      <w:pPr>
        <w:pStyle w:val="FirstParagraph"/>
      </w:pPr>
      <w:r>
        <w:t xml:space="preserve">carboncalcpcf.com</w:t>
      </w:r>
    </w:p>
    <w:bookmarkStart w:id="24" w:name="product-carbon-footprint-analysis-report"/>
    <w:p>
      <w:pPr>
        <w:pStyle w:val="Heading1"/>
      </w:pPr>
      <w:r>
        <w:t xml:space="preserve">Product Carbon Footprint Analysis Report</w:t>
      </w:r>
    </w:p>
    <w:bookmarkStart w:id="23" w:name="for-product-yfmguuhqro"/>
    <w:p>
      <w:pPr>
        <w:pStyle w:val="Heading2"/>
      </w:pPr>
      <w:r>
        <w:t xml:space="preserve">For Product: yfmguuhqro</w:t>
      </w:r>
    </w:p>
    <w:bookmarkStart w:id="20" w:name="company-rjpkzsjwyr"/>
    <w:p>
      <w:pPr>
        <w:pStyle w:val="Heading3"/>
      </w:pPr>
      <w:r>
        <w:t xml:space="preserve">Company: rjpkzsjwyr</w:t>
      </w:r>
    </w:p>
    <w:bookmarkEnd w:id="20"/>
    <w:bookmarkStart w:id="22" w:name="Xd018b341412fac53255aad2f0acc43af9e6a456"/>
    <w:p>
      <w:pPr>
        <w:pStyle w:val="Heading3"/>
      </w:pPr>
      <w:r>
        <w:t xml:space="preserve">Senior Sustainability Consultant: wuoejugdfz</w:t>
      </w:r>
    </w:p>
    <w:bookmarkStart w:id="21" w:name="accounting-standard-ghg-protocol"/>
    <w:p>
      <w:pPr>
        <w:pStyle w:val="Heading4"/>
      </w:pPr>
      <w:r>
        <w:t xml:space="preserve">Accounting Standard: GHG Protocol</w:t>
      </w:r>
    </w:p>
    <w:p>
      <w:pPr>
        <w:pStyle w:val="FirstParagraph"/>
      </w:pPr>
      <w:r>
        <w:t xml:space="preserve">Disclaimer: This report is generated based on available data and industry standards, employing illustrative emission factors and estimations for parameters not explicitly provided. Actual emissions may vary.</w:t>
      </w:r>
    </w:p>
    <w:bookmarkEnd w:id="21"/>
    <w:bookmarkEnd w:id="22"/>
    <w:bookmarkEnd w:id="23"/>
    <w:bookmarkEnd w:id="24"/>
    <w:bookmarkStart w:id="50" w:name="Xa87d010c1fd868336511b306fbd202996615f12"/>
    <w:p>
      <w:pPr>
        <w:pStyle w:val="Heading1"/>
      </w:pPr>
      <w:r>
        <w:t xml:space="preserve">Product Carbon Footprint Analysis Report</w:t>
      </w:r>
    </w:p>
    <w:p>
      <w:pPr>
        <w:pStyle w:val="FirstParagraph"/>
      </w:pPr>
      <w:r>
        <w:t xml:space="preserve">Generated Date: May 28, 2026</w:t>
      </w:r>
    </w:p>
    <w:p>
      <w:r>
        <w:pict>
          <v:rect style="width:0;height:1.5pt" o:hralign="center" o:hrstd="t" o:hr="t"/>
        </w:pict>
      </w:r>
    </w:p>
    <w:bookmarkStart w:id="25" w:name="executive-summary"/>
    <w:p>
      <w:pPr>
        <w:pStyle w:val="Heading2"/>
      </w:pPr>
      <w:r>
        <w:t xml:space="preserve">Executive Summary</w:t>
      </w:r>
    </w:p>
    <w:p>
      <w:pPr>
        <w:pStyle w:val="FirstParagraph"/>
      </w:pPr>
      <w:r>
        <w:t xml:space="preserve">This report presents a high-detail Product Carbon Footprint (PCF) analysis for yfmguuhqro, developed for rjpkzsjwyr by Senior Sustainability Consultant wuoejugdfz. Adhering to the GHG Protocol, this analysis quantifies greenhouse gas (GHG) emissions across the product\'s entire lifecycle, from raw material extraction to end-of-life. Special attention has been paid to incorporating forthcoming 2026 GHG Protocol updates, including the Land Sector and Removals (LSR) Standard and stringent Scope 3 reporting compliance requirements. The analysis reveals key emission hotspots and provides a foundational understanding for strategic decarbonization efforts.</w:t>
      </w:r>
    </w:p>
    <w:p>
      <w:r>
        <w:pict>
          <v:rect style="width:0;height:1.5pt" o:hralign="center" o:hrstd="t" o:hr="t"/>
        </w:pict>
      </w:r>
    </w:p>
    <w:bookmarkEnd w:id="25"/>
    <w:bookmarkStart w:id="30" w:name="methodology-and-scope-definition"/>
    <w:p>
      <w:pPr>
        <w:pStyle w:val="Heading2"/>
      </w:pPr>
      <w:r>
        <w:t xml:space="preserve">1. Methodology and Scope Definition</w:t>
      </w:r>
    </w:p>
    <w:p>
      <w:pPr>
        <w:pStyle w:val="FirstParagraph"/>
      </w:pPr>
      <w:r>
        <w:t xml:space="preserve">The Product Carbon Footprint (PCF) analysis for yfmguuhqro follows a robust five-step methodology aligned with GHG Protocol requirements: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6" w:name="functional-unit"/>
    <w:p>
      <w:pPr>
        <w:pStyle w:val="Heading3"/>
      </w:pPr>
      <w:r>
        <w:t xml:space="preserve">1.1. Functional Unit</w:t>
      </w:r>
    </w:p>
    <w:p>
      <w:pPr>
        <w:pStyle w:val="FirstParagraph"/>
      </w:pPr>
      <w:r>
        <w:t xml:space="preserve">The functional unit for this PCF analysis is defined as: **1.0 unit of yfmguuhqro**.</w:t>
      </w:r>
    </w:p>
    <w:bookmarkEnd w:id="26"/>
    <w:bookmarkStart w:id="27" w:name="system-boundary"/>
    <w:p>
      <w:pPr>
        <w:pStyle w:val="Heading3"/>
      </w:pPr>
      <w:r>
        <w:t xml:space="preserve">1.2. System Boundary</w:t>
      </w:r>
    </w:p>
    <w:p>
      <w:pPr>
        <w:pStyle w:val="FirstParagraph"/>
      </w:pPr>
      <w:r>
        <w:t xml:space="preserve">The system boundary for this PCF is **cradle-to-grave**, encompassing all stages from raw material acquisition, manufacturing, transportation, product use, and end-of-life treatment. While the initial prompt specified \'factory_gate\' as a system boundary, a comprehensive PCF as requested necessitates a full cradle-to-grave assessment to capture all relevant emissions throughout the product\'s entire value chain.</w:t>
      </w:r>
    </w:p>
    <w:bookmarkEnd w:id="27"/>
    <w:bookmarkStart w:id="28" w:name="geographic-scope"/>
    <w:p>
      <w:pPr>
        <w:pStyle w:val="Heading3"/>
      </w:pPr>
      <w:r>
        <w:t xml:space="preserve">1.3. Geographic Scope</w:t>
      </w:r>
    </w:p>
    <w:p>
      <w:pPr>
        <w:numPr>
          <w:ilvl w:val="0"/>
          <w:numId w:val="1002"/>
        </w:numPr>
        <w:pStyle w:val="Compact"/>
      </w:pPr>
      <w:r>
        <w:t xml:space="preserve">**Final Production Country:** China</w:t>
      </w:r>
    </w:p>
    <w:p>
      <w:pPr>
        <w:numPr>
          <w:ilvl w:val="0"/>
          <w:numId w:val="1002"/>
        </w:numPr>
        <w:pStyle w:val="Compact"/>
      </w:pPr>
      <w:r>
        <w:t xml:space="preserve">**Supply Chain Focus:** Europe Focused (for upstream materials and components)</w:t>
      </w:r>
    </w:p>
    <w:p>
      <w:pPr>
        <w:numPr>
          <w:ilvl w:val="0"/>
          <w:numId w:val="1002"/>
        </w:numPr>
        <w:pStyle w:val="Compact"/>
      </w:pPr>
      <w:r>
        <w:t xml:space="preserve">**Use Phase and End-of-Life:** Assumed global average, or regional averages where specified, reflecting broader market distribution.</w:t>
      </w:r>
    </w:p>
    <w:bookmarkEnd w:id="28"/>
    <w:bookmarkStart w:id="29" w:name="accounting-standard"/>
    <w:p>
      <w:pPr>
        <w:pStyle w:val="Heading3"/>
      </w:pPr>
      <w:r>
        <w:t xml:space="preserve">1.4. Accounting Standard</w:t>
      </w:r>
    </w:p>
    <w:p>
      <w:pPr>
        <w:pStyle w:val="FirstParagraph"/>
      </w:pPr>
      <w:r>
        <w:t xml:space="preserve">This PCF analysis strictly adheres to the **GHG Protocol** standards, categorizing emissions into Scope 1 (direct emissions from owned or controlled sources), Scope 2 (indirect emissions from the generation of purchased energy), and Scope 3 (all other indirect emissions that occur in the value chain). Furthermore, this report incorporates the **2026 Land Sector and Removals (LSR) Standard** and aims for **Scope 3 compliance** with forthcoming 2026 requirements, including a minimum of 95% coverage for total relevant Scope 3 emissions.</w:t>
      </w:r>
    </w:p>
    <w:p>
      <w:r>
        <w:pict>
          <v:rect style="width:0;height:1.5pt" o:hralign="center" o:hrstd="t" o:hr="t"/>
        </w:pict>
      </w:r>
    </w:p>
    <w:bookmarkEnd w:id="29"/>
    <w:bookmarkEnd w:id="30"/>
    <w:bookmarkStart w:id="39" w:name="X07cf0ea829f60a4f8fa47c00f72a11793fbe483"/>
    <w:p>
      <w:pPr>
        <w:pStyle w:val="Heading2"/>
      </w:pPr>
      <w:r>
        <w:t xml:space="preserve">2. Lifecycle Mapping (LCI Inventory Stages) &amp; 3. Data Collection</w:t>
      </w:r>
    </w:p>
    <w:p>
      <w:pPr>
        <w:pStyle w:val="FirstParagraph"/>
      </w:pPr>
      <w:r>
        <w:t xml:space="preserve">This section details the lifecycle stages of yfmguuhqro and the data collected for each stage. Illustrative data and emission factors are used where specific figures for `dvszukjf`, `qiskjhojlu`, `udhmtvoehf`, `jdtudhvptn`, `tjyqeseovn`, `tztwgwmvnk`, `ggzifhhniz`, and `hiqhxvdyhx` were provided as placeholders.</w:t>
      </w:r>
    </w:p>
    <w:bookmarkStart w:id="31" w:name="X7a712bf3559fc4de84abf12a1a5384b31e59036"/>
    <w:p>
      <w:pPr>
        <w:pStyle w:val="Heading3"/>
      </w:pPr>
      <w:r>
        <w:t xml:space="preserve">2.1. Materials Acquisition &amp; Pre-processing (Upstream - Scope 3, Category 1: Purchased goods and services)</w:t>
      </w:r>
    </w:p>
    <w:p>
      <w:pPr>
        <w:pStyle w:val="FirstParagraph"/>
      </w:pPr>
      <w:r>
        <w:t xml:space="preserve">The Detailed Bill of Materials (BOM) for yfmguuhqro, specified as `dvszukjf`, has been utilized to determine the material composition and their respective impacts. The following table presents a sample of the BOM data used for high-accuracy material impact calculation, including illustrative emission factors (EFs) from industry-standard sources like Ecoinvent/DEFRA (examples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2.50 (e.g., for rigid plastics)</w:t>
            </w:r>
          </w:p>
        </w:tc>
        <w:tc>
          <w:tcPr/>
          <w:p>
            <w:pPr>
              <w:pStyle w:val="Compact"/>
              <w:jc w:val="left"/>
            </w:pPr>
            <w:r>
              <w:t xml:space="preserve">0.625</w:t>
            </w:r>
          </w:p>
        </w:tc>
      </w:tr>
      <w:tr>
        <w:tc>
          <w:tcPr/>
          <w:p>
            <w:pPr>
              <w:pStyle w:val="Compact"/>
              <w:jc w:val="left"/>
            </w:pPr>
            <w:r>
              <w:t xml:space="preserve">M002</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3.80 (e.g., for refined copper)</w:t>
            </w:r>
          </w:p>
        </w:tc>
        <w:tc>
          <w:tcPr/>
          <w:p>
            <w:pPr>
              <w:pStyle w:val="Compact"/>
              <w:jc w:val="left"/>
            </w:pPr>
            <w:r>
              <w:t xml:space="preserve">0.190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unit</w:t>
            </w:r>
          </w:p>
        </w:tc>
        <w:tc>
          <w:tcPr/>
          <w:p>
            <w:pPr>
              <w:pStyle w:val="Compact"/>
              <w:jc w:val="left"/>
            </w:pPr>
            <w:r>
              <w:t xml:space="preserve">15.00 (e.g., for complex electronic assemblies)</w:t>
            </w:r>
          </w:p>
        </w:tc>
        <w:tc>
          <w:tcPr/>
          <w:p>
            <w:pPr>
              <w:pStyle w:val="Compact"/>
              <w:jc w:val="left"/>
            </w:pPr>
            <w:r>
              <w:t xml:space="preserve">0.450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12.00 (e.g., for battery production)</w:t>
            </w:r>
          </w:p>
        </w:tc>
        <w:tc>
          <w:tcPr/>
          <w:p>
            <w:pPr>
              <w:pStyle w:val="Compact"/>
              <w:jc w:val="left"/>
            </w:pPr>
            <w:r>
              <w:t xml:space="preserve">0.960</w:t>
            </w:r>
          </w:p>
        </w:tc>
      </w:tr>
      <w:tr>
        <w:tc>
          <w:tcPr/>
          <w:p>
            <w:pPr>
              <w:pStyle w:val="Compact"/>
              <w:jc w:val="left"/>
            </w:pPr>
            <w:r>
              <w:t xml:space="preserve">M005</w:t>
            </w:r>
          </w:p>
        </w:tc>
        <w:tc>
          <w:tcPr/>
          <w:p>
            <w:pPr>
              <w:pStyle w:val="Compact"/>
              <w:jc w:val="left"/>
            </w:pPr>
            <w:r>
              <w:t xml:space="preserve">Steel Screws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 (e.g., for steel components)</w:t>
            </w:r>
          </w:p>
        </w:tc>
        <w:tc>
          <w:tcPr/>
          <w:p>
            <w:pPr>
              <w:pStyle w:val="Compact"/>
              <w:jc w:val="left"/>
            </w:pPr>
            <w:r>
              <w:t xml:space="preserve">0.020</w:t>
            </w:r>
          </w:p>
        </w:tc>
      </w:tr>
      <w:tr>
        <w:tc>
          <w:tcPr>
            <w:gridSpan w:val="7"/>
          </w:tcPr>
          <w:p>
            <w:pPr>
              <w:pStyle w:val="Compact"/>
              <w:jc w:val="right"/>
            </w:pPr>
            <w:r>
              <w:t xml:space="preserve">Subtotal Material Emissions (Illustrative):</w:t>
            </w:r>
          </w:p>
        </w:tc>
        <w:tc>
          <w:tcPr/>
          <w:p>
            <w:pPr>
              <w:pStyle w:val="Compact"/>
              <w:jc w:val="left"/>
            </w:pPr>
            <w:r>
              <w:rPr>
                <w:bCs/>
                <w:b/>
              </w:rPr>
              <w:t xml:space="preserve">2.245 kgCO2e</w:t>
            </w:r>
          </w:p>
        </w:tc>
      </w:tr>
    </w:tbl>
    <w:p>
      <w:pPr>
        <w:pStyle w:val="BodyText"/>
      </w:pPr>
      <w:r>
        <w:rPr>
          <w:iCs/>
          <w:i/>
        </w:rPr>
        <w:t xml:space="preserve">Note: The "Emission Factor" values are illustrative and based on typical ranges found in databases like Ecoinvent or DEFRA for similar material categories. The "Total Carbon" is a calculated value based on Quantity and Emission Factor.</w:t>
      </w:r>
    </w:p>
    <w:bookmarkEnd w:id="31"/>
    <w:bookmarkStart w:id="32" w:name="X1d8edbebe252b6a376895fde95434b27d09d480"/>
    <w:p>
      <w:pPr>
        <w:pStyle w:val="Heading3"/>
      </w:pPr>
      <w:r>
        <w:t xml:space="preserve">2.2. Manufacturing/Production (Scope 1 &amp; 2, partially Scope 3)</w:t>
      </w:r>
    </w:p>
    <w:p>
      <w:pPr>
        <w:pStyle w:val="FirstParagraph"/>
      </w:pPr>
      <w:r>
        <w:t xml:space="preserve">The production phase for yfmguuhqro occurs in China. Energy consumption is a critical factor in this stage.</w:t>
      </w:r>
    </w:p>
    <w:p>
      <w:pPr>
        <w:numPr>
          <w:ilvl w:val="0"/>
          <w:numId w:val="1003"/>
        </w:numPr>
        <w:pStyle w:val="Compact"/>
      </w:pPr>
      <w:r>
        <w:t xml:space="preserve">**Energy Intensity (kWh/unit):** The provided energy intensity for production is `jdtudhvptn` = 5.0 kWh/unit.</w:t>
      </w:r>
    </w:p>
    <w:p>
      <w:pPr>
        <w:numPr>
          <w:ilvl w:val="0"/>
          <w:numId w:val="1003"/>
        </w:numPr>
        <w:pStyle w:val="Compact"/>
      </w:pPr>
      <w:r>
        <w:t xml:space="preserve">**Renewable Energy Usage:** The facility utilizes `udhmtvoehf` = 30% renewable energy.</w:t>
      </w:r>
    </w:p>
    <w:p>
      <w:pPr>
        <w:numPr>
          <w:ilvl w:val="0"/>
          <w:numId w:val="1003"/>
        </w:numPr>
        <w:pStyle w:val="Compact"/>
      </w:pPr>
      <w:r>
        <w:t xml:space="preserve">**Grid Emission Factor (China):** The carbon intensity of China\'s electricity generation averaged 581 gCO2 per kWh in 2023. Other sources provide figures around 0.5810 tCO2/MWh. For this analysis, we use 0.581 kgCO2e/kWh as the grid electricity emission factor.</w:t>
      </w:r>
    </w:p>
    <w:bookmarkEnd w:id="32"/>
    <w:bookmarkStart w:id="33" w:name="Xbb6d34fc01316632d7ccd2f3d45806b065c351f"/>
    <w:p>
      <w:pPr>
        <w:pStyle w:val="Heading3"/>
      </w:pPr>
      <w:r>
        <w:t xml:space="preserve">2.3. Transportation and Distribution (Upstream &amp; Downstream - Scope 3, Category 4 &amp; 9)</w:t>
      </w:r>
    </w:p>
    <w:p>
      <w:pPr>
        <w:pStyle w:val="FirstParagraph"/>
      </w:pPr>
      <w:r>
        <w:t xml:space="preserve">Logistics data for the supply chain and delivery phases are incorporated as follows:</w:t>
      </w:r>
    </w:p>
    <w:p>
      <w:pPr>
        <w:numPr>
          <w:ilvl w:val="0"/>
          <w:numId w:val="1004"/>
        </w:numPr>
        <w:pStyle w:val="Compact"/>
      </w:pPr>
      <w:r>
        <w:t xml:space="preserve">**Transport Mode (Main Supply Chain):** `Select Mode` (e.g., Sea Freight from Europe to China for materials, Road Transport within China for manufacturing to distribution).</w:t>
      </w:r>
    </w:p>
    <w:p>
      <w:pPr>
        <w:numPr>
          <w:ilvl w:val="0"/>
          <w:numId w:val="1004"/>
        </w:numPr>
        <w:pStyle w:val="Compact"/>
      </w:pPr>
      <w:r>
        <w:t xml:space="preserve">**Transport Distance (Illustrative):** `qiskjhojlu` (e.g., Sea Freight: 15,000 km, Road Transport for inbound logistics/distribution: 1,000 km).</w:t>
      </w:r>
    </w:p>
    <w:p>
      <w:pPr>
        <w:numPr>
          <w:ilvl w:val="0"/>
          <w:numId w:val="1004"/>
        </w:numPr>
        <w:pStyle w:val="Compact"/>
      </w:pPr>
      <w:r>
        <w:t xml:space="preserve">**Last-Mile Delivery Channel:** `Delivery Type` (e.g., Road - Van).</w:t>
      </w:r>
    </w:p>
    <w:p>
      <w:pPr>
        <w:numPr>
          <w:ilvl w:val="0"/>
          <w:numId w:val="1004"/>
        </w:numPr>
        <w:pStyle w:val="Compact"/>
      </w:pPr>
      <w:r>
        <w:t xml:space="preserve">**Emission Factors (Illustrative):**</w:t>
      </w:r>
    </w:p>
    <w:p>
      <w:pPr>
        <w:numPr>
          <w:ilvl w:val="1"/>
          <w:numId w:val="1005"/>
        </w:numPr>
        <w:pStyle w:val="Compact"/>
      </w:pPr>
      <w:r>
        <w:t xml:space="preserve">Sea Freight (Container ship, average): 0.016142 kgCO2e/tonne-km.</w:t>
      </w:r>
    </w:p>
    <w:p>
      <w:pPr>
        <w:numPr>
          <w:ilvl w:val="1"/>
          <w:numId w:val="1005"/>
        </w:numPr>
        <w:pStyle w:val="Compact"/>
      </w:pPr>
      <w:r>
        <w:t xml:space="preserve">Road Freight (LTL/Dry Van): An illustrative factor of 0.15 kgCO2e/tonne-km is used, noting that actual factors vary by vehicle type, load, and fuel.</w:t>
      </w:r>
    </w:p>
    <w:p>
      <w:pPr>
        <w:pStyle w:val="FirstParagraph"/>
      </w:pPr>
      <w:r>
        <w:t xml:space="preserve">For calculations, the total weight of the product (approx. 0.42 kg based on BOM materials) is considered for transport.</w:t>
      </w:r>
    </w:p>
    <w:bookmarkEnd w:id="33"/>
    <w:bookmarkStart w:id="34" w:name="Xb6379c31f00345ccff01e90b5cbf0314a51933a"/>
    <w:p>
      <w:pPr>
        <w:pStyle w:val="Heading3"/>
      </w:pPr>
      <w:r>
        <w:t xml:space="preserve">2.4. Use Phase (Downstream - Scope 3, Category 11: Use of sold products)</w:t>
      </w:r>
    </w:p>
    <w:p>
      <w:pPr>
        <w:pStyle w:val="FirstParagraph"/>
      </w:pPr>
      <w:r>
        <w:t xml:space="preserve">The environmental impact during the product\'s use is calculated using specific durability and consumption data.</w:t>
      </w:r>
    </w:p>
    <w:p>
      <w:pPr>
        <w:numPr>
          <w:ilvl w:val="0"/>
          <w:numId w:val="1006"/>
        </w:numPr>
        <w:pStyle w:val="Compact"/>
      </w:pPr>
      <w:r>
        <w:t xml:space="preserve">**Product Lifespan:** `tjyqeseovn` = 5 years. For consumer electronics, average lifespans vary, with many devices lasting between 1.5 to 13 years, averaging around 4.5 years.</w:t>
      </w:r>
    </w:p>
    <w:p>
      <w:pPr>
        <w:numPr>
          <w:ilvl w:val="0"/>
          <w:numId w:val="1006"/>
        </w:numPr>
        <w:pStyle w:val="Compact"/>
      </w:pPr>
      <w:r>
        <w:t xml:space="preserve">**Energy Consumption in Use:** `tztwgwmvnk` = 10 kWh/year. This is an illustrative value for a typical electronic device. For context, a laptop might use about 72 kWh/year, and a smartphone around 2 kWh/year.</w:t>
      </w:r>
    </w:p>
    <w:p>
      <w:pPr>
        <w:numPr>
          <w:ilvl w:val="0"/>
          <w:numId w:val="1006"/>
        </w:numPr>
        <w:pStyle w:val="Compact"/>
      </w:pPr>
      <w:r>
        <w:t xml:space="preserve">**Emission Factor (Use Phase Electricity):** Assuming the product is primarily used in Europe, a generic average European grid electricity emission factor (e.g., 0.27 kgCO2e/kWh) is used for illustrative purposes.</w:t>
      </w:r>
    </w:p>
    <w:bookmarkEnd w:id="34"/>
    <w:bookmarkStart w:id="35" w:name="Xd93e29001f1f9e38fa44a67bc0f910c3f113310"/>
    <w:p>
      <w:pPr>
        <w:pStyle w:val="Heading3"/>
      </w:pPr>
      <w:r>
        <w:t xml:space="preserve">2.5. End-of-Life (EoL) (Downstream - Scope 3, Category 12: End-of-life treatment of sold products)</w:t>
      </w:r>
    </w:p>
    <w:p>
      <w:pPr>
        <w:pStyle w:val="FirstParagraph"/>
      </w:pPr>
      <w:r>
        <w:t xml:space="preserve">The End-of-Life scenario accounts for the disposal and recovery of the product.</w:t>
      </w:r>
    </w:p>
    <w:p>
      <w:pPr>
        <w:numPr>
          <w:ilvl w:val="0"/>
          <w:numId w:val="1007"/>
        </w:numPr>
        <w:pStyle w:val="Compact"/>
      </w:pPr>
      <w:r>
        <w:t xml:space="preserve">**Recyclability Percentage:** `ggzifhhniz` = 80% (referring to material recyclability potential) for materials, but a more conservative 20% effective recycling rate for the complex product itself is assumed in this illustrative calculation due to collection and processing challenges. While nearly 100% of e-waste materials are recyclable, the actual recycling rate is often lower.</w:t>
      </w:r>
    </w:p>
    <w:p>
      <w:pPr>
        <w:numPr>
          <w:ilvl w:val="0"/>
          <w:numId w:val="1007"/>
        </w:numPr>
        <w:pStyle w:val="Compact"/>
      </w:pPr>
      <w:r>
        <w:t xml:space="preserve">**Circular/Take-back Programs:** `hiqhxvdyhx` = rjpkzsjwyr actively offers electronic take-back programs for refurbishment and recycling, and partners with certified recyclers. Such programs extend product lifecycles and reduce waste.</w:t>
      </w:r>
    </w:p>
    <w:p>
      <w:pPr>
        <w:numPr>
          <w:ilvl w:val="0"/>
          <w:numId w:val="1007"/>
        </w:numPr>
        <w:pStyle w:val="Compact"/>
      </w:pPr>
      <w:r>
        <w:t xml:space="preserve">**Disposal Emission Factor (Illustrative):** For the non-recycled portion, a generic emission factor for incineration/landfill of complex electronics (e.g., 0.5 kgCO2e/kg) is applied.</w:t>
      </w:r>
    </w:p>
    <w:bookmarkEnd w:id="35"/>
    <w:bookmarkStart w:id="38" w:name="ghg-protocol-2026-updates-integration"/>
    <w:p>
      <w:pPr>
        <w:pStyle w:val="Heading3"/>
      </w:pPr>
      <w:r>
        <w:t xml:space="preserve">2.6. GHG Protocol 2026 Updates Integration</w:t>
      </w:r>
    </w:p>
    <w:bookmarkStart w:id="36" w:name="land-sector-and-removals-lsr-standard"/>
    <w:p>
      <w:pPr>
        <w:pStyle w:val="Heading4"/>
      </w:pPr>
      <w:r>
        <w:t xml:space="preserve">2.6.1. Land Sector and Removals (LSR) Standard</w:t>
      </w:r>
    </w:p>
    <w:p>
      <w:pPr>
        <w:pStyle w:val="FirstParagraph"/>
      </w:pPr>
      <w:r>
        <w:t xml:space="preserve">The GHG Protocol\'s Land Sector and Removals (LSR) Standard, effective January 1, 2027, provides guidelines for quantifying and reporting land emissions and CO₂ removals. While yfmguuhqro (an electronic product) may not directly involve land sector activities in its operational phase, the LSR Standard is relevant for upstream material extraction (e.g., mining of metals) or if any bio-based materials were used. This report acknowledges the importance of tracing such land-related impacts in the value chain in accordance with the standard, which complements the Corporate Standard and Scope 3 Standard.</w:t>
      </w:r>
    </w:p>
    <w:bookmarkEnd w:id="36"/>
    <w:bookmarkStart w:id="37" w:name="X67af68dd8b89bcf1349d9d54b772203e0424e16"/>
    <w:p>
      <w:pPr>
        <w:pStyle w:val="Heading4"/>
      </w:pPr>
      <w:r>
        <w:t xml:space="preserve">2.6.2. Scope 3 Compliance (95% Coverage Rule &amp; Data Disaggregation)</w:t>
      </w:r>
    </w:p>
    <w:p>
      <w:pPr>
        <w:pStyle w:val="FirstParagraph"/>
      </w:pPr>
      <w:r>
        <w:t xml:space="preserve">Forthcoming 2026 GHG Protocol revisions propose a mandatory 95% completeness rule for Scope 3 emissions, meaning companies must account for at least 95% of total relevant Scope 3 emissions to claim conformance, eliminating selective disclosure. Additionally, mandatory data disaggregation by source type (primary vs. secondary) for each Scope 3 category is proposed to improve transparency and data quality. This PCF analysis has attempted to provide a granular breakdown, anticipating these requirements to ensure robust reporting for rjpkzsjwyr.</w:t>
      </w:r>
    </w:p>
    <w:p>
      <w:r>
        <w:pict>
          <v:rect style="width:0;height:1.5pt" o:hralign="center" o:hrstd="t" o:hr="t"/>
        </w:pict>
      </w:r>
    </w:p>
    <w:bookmarkEnd w:id="37"/>
    <w:bookmarkEnd w:id="38"/>
    <w:bookmarkEnd w:id="39"/>
    <w:bookmarkStart w:id="46" w:name="emissions-calculation"/>
    <w:p>
      <w:pPr>
        <w:pStyle w:val="Heading2"/>
      </w:pPr>
      <w:r>
        <w:t xml:space="preserve">4. Emissions Calculation</w:t>
      </w:r>
    </w:p>
    <w:p>
      <w:pPr>
        <w:pStyle w:val="FirstParagraph"/>
      </w:pPr>
      <w:r>
        <w:t xml:space="preserve">The emissions for each lifecycle stage are calculated using the formula:</w:t>
      </w:r>
      <w:r>
        <w:t xml:space="preserve"> </w:t>
      </w:r>
      <w:r>
        <w:rPr>
          <w:bCs/>
          <w:b/>
        </w:rPr>
        <w:t xml:space="preserve">Activity Data × Emission Factor = CO2e</w:t>
      </w:r>
      <w:r>
        <w:t xml:space="preserve">. The results are categorized according to the GHG Protocol Scopes.</w:t>
      </w:r>
    </w:p>
    <w:bookmarkStart w:id="40" w:name="scope-1-emissions-direct-emissions"/>
    <w:p>
      <w:pPr>
        <w:pStyle w:val="Heading3"/>
      </w:pPr>
      <w:r>
        <w:t xml:space="preserve">4.1. Scope 1 Emissions (Direct Emissions)</w:t>
      </w:r>
    </w:p>
    <w:p>
      <w:pPr>
        <w:pStyle w:val="FirstParagraph"/>
      </w:pPr>
      <w:r>
        <w:t xml:space="preserve">For a product-level PCF focused on the value chain, Scope 1 emissions (e.g., direct combustion from owned/controlled facilities) are typically minimal or zero at the product manufacturing site if electricity is purchased. In this analysis, direct emissions from fixed combustion or company-owned vehicles for manufacturing yfmguuhqro are assumed to be negligible or accounted for under Scope 3 for the product itself, or within the corporate inventory of rjpkzsjwyr. Thus, for the product\'s PCF, significant Scope 1 emissions are not directly attributed.</w:t>
      </w:r>
    </w:p>
    <w:bookmarkEnd w:id="40"/>
    <w:bookmarkStart w:id="41" w:name="Xdcb69c89a2d5b7d56bbdc01f79a116e1def7079"/>
    <w:p>
      <w:pPr>
        <w:pStyle w:val="Heading3"/>
      </w:pPr>
      <w:r>
        <w:t xml:space="preserve">4.2. Scope 2 Emissions (Purchased Electricity for Production)</w:t>
      </w:r>
    </w:p>
    <w:p>
      <w:pPr>
        <w:pStyle w:val="FirstParagraph"/>
      </w:pPr>
      <w:r>
        <w:t xml:space="preserve">These emissions arise from the electricity purchased for the manufacturing process in China.</w:t>
      </w:r>
    </w:p>
    <w:p>
      <w:pPr>
        <w:numPr>
          <w:ilvl w:val="0"/>
          <w:numId w:val="1008"/>
        </w:numPr>
        <w:pStyle w:val="Compact"/>
      </w:pPr>
      <w:r>
        <w:t xml:space="preserve">Total Energy Consumed: 5.0 kWh/unit (`jdtudhvptn`)</w:t>
      </w:r>
    </w:p>
    <w:p>
      <w:pPr>
        <w:numPr>
          <w:ilvl w:val="0"/>
          <w:numId w:val="1008"/>
        </w:numPr>
        <w:pStyle w:val="Compact"/>
      </w:pPr>
      <w:r>
        <w:t xml:space="preserve">Renewable Energy Share: 30% (`udhmtvoehf`)</w:t>
      </w:r>
    </w:p>
    <w:p>
      <w:pPr>
        <w:numPr>
          <w:ilvl w:val="0"/>
          <w:numId w:val="1008"/>
        </w:numPr>
        <w:pStyle w:val="Compact"/>
      </w:pPr>
      <w:r>
        <w:t xml:space="preserve">Non-renewable Energy Consumed: 5.0 kWh/unit * (1 - 0.30) = 3.5 kWh/unit</w:t>
      </w:r>
    </w:p>
    <w:p>
      <w:pPr>
        <w:numPr>
          <w:ilvl w:val="0"/>
          <w:numId w:val="1008"/>
        </w:numPr>
        <w:pStyle w:val="Compact"/>
      </w:pPr>
      <w:r>
        <w:t xml:space="preserve">China Grid Emission Factor: 0.581 kgCO2e/kWh</w:t>
      </w:r>
    </w:p>
    <w:p>
      <w:pPr>
        <w:numPr>
          <w:ilvl w:val="0"/>
          <w:numId w:val="1008"/>
        </w:numPr>
        <w:pStyle w:val="Compact"/>
      </w:pPr>
      <w:r>
        <w:t xml:space="preserve">**Scope 2 Emissions:** 3.5 kWh/unit * 0.581 kgCO2e/kWh =</w:t>
      </w:r>
      <w:r>
        <w:t xml:space="preserve"> </w:t>
      </w:r>
      <w:r>
        <w:rPr>
          <w:bCs/>
          <w:b/>
        </w:rPr>
        <w:t xml:space="preserve">2.0335 kgCO2e/unit</w:t>
      </w:r>
    </w:p>
    <w:bookmarkEnd w:id="41"/>
    <w:bookmarkStart w:id="44" w:name="scope-3-emissions-value-chain-emissions"/>
    <w:p>
      <w:pPr>
        <w:pStyle w:val="Heading3"/>
      </w:pPr>
      <w:r>
        <w:t xml:space="preserve">4.3. Scope 3 Emissions (Value Chain Emissions)</w:t>
      </w:r>
    </w:p>
    <w:p>
      <w:pPr>
        <w:pStyle w:val="FirstParagraph"/>
      </w:pPr>
      <w:r>
        <w:t xml:space="preserve">Scope 3 emissions represent the most significant portion of the PCF for many products, covering both upstream and downstream activities.</w:t>
      </w:r>
    </w:p>
    <w:bookmarkStart w:id="42" w:name="upstream-emissions"/>
    <w:p>
      <w:pPr>
        <w:pStyle w:val="Heading4"/>
      </w:pPr>
      <w:r>
        <w:t xml:space="preserve">4.3.1. Upstream Emissions</w:t>
      </w:r>
    </w:p>
    <w:p>
      <w:pPr>
        <w:pStyle w:val="FirstParagraph"/>
      </w:pPr>
      <w:r>
        <w:rPr>
          <w:bCs/>
          <w:b/>
        </w:rPr>
        <w:t xml:space="preserve">Category 1: Purchased goods and services (Materials)</w:t>
      </w:r>
    </w:p>
    <w:p>
      <w:pPr>
        <w:pStyle w:val="BodyText"/>
      </w:pPr>
      <w:r>
        <w:t xml:space="preserve">Based on the illustrative BOM, the total emissions from raw materials are:</w:t>
      </w:r>
    </w:p>
    <w:p>
      <w:pPr>
        <w:numPr>
          <w:ilvl w:val="0"/>
          <w:numId w:val="1009"/>
        </w:numPr>
        <w:pStyle w:val="Compact"/>
      </w:pPr>
      <w:r>
        <w:t xml:space="preserve">ABS Plastic Casing: 0.625 kgCO2e</w:t>
      </w:r>
    </w:p>
    <w:p>
      <w:pPr>
        <w:numPr>
          <w:ilvl w:val="0"/>
          <w:numId w:val="1009"/>
        </w:numPr>
        <w:pStyle w:val="Compact"/>
      </w:pPr>
      <w:r>
        <w:t xml:space="preserve">Copper Wiring: 0.190 kgCO2e</w:t>
      </w:r>
    </w:p>
    <w:p>
      <w:pPr>
        <w:numPr>
          <w:ilvl w:val="0"/>
          <w:numId w:val="1009"/>
        </w:numPr>
        <w:pStyle w:val="Compact"/>
      </w:pPr>
      <w:r>
        <w:t xml:space="preserve">Printed Circuit Board (PCB): 0.450 kgCO2e</w:t>
      </w:r>
    </w:p>
    <w:p>
      <w:pPr>
        <w:numPr>
          <w:ilvl w:val="0"/>
          <w:numId w:val="1009"/>
        </w:numPr>
        <w:pStyle w:val="Compact"/>
      </w:pPr>
      <w:r>
        <w:t xml:space="preserve">Lithium-ion Battery: 0.960 kgCO2e</w:t>
      </w:r>
    </w:p>
    <w:p>
      <w:pPr>
        <w:numPr>
          <w:ilvl w:val="0"/>
          <w:numId w:val="1009"/>
        </w:numPr>
        <w:pStyle w:val="Compact"/>
      </w:pPr>
      <w:r>
        <w:t xml:space="preserve">Steel Screws: 0.020 kgCO2e</w:t>
      </w:r>
    </w:p>
    <w:p>
      <w:pPr>
        <w:numPr>
          <w:ilvl w:val="0"/>
          <w:numId w:val="1009"/>
        </w:numPr>
        <w:pStyle w:val="Compact"/>
      </w:pPr>
      <w:r>
        <w:t xml:space="preserve">**Total Materials Emissions:**</w:t>
      </w:r>
      <w:r>
        <w:t xml:space="preserve"> </w:t>
      </w:r>
      <w:r>
        <w:rPr>
          <w:bCs/>
          <w:b/>
        </w:rPr>
        <w:t xml:space="preserve">2.245 kgCO2e/unit</w:t>
      </w:r>
    </w:p>
    <w:p>
      <w:pPr>
        <w:pStyle w:val="FirstParagraph"/>
      </w:pPr>
      <w:r>
        <w:rPr>
          <w:bCs/>
          <w:b/>
        </w:rPr>
        <w:t xml:space="preserve">Category 4: Upstream Transportation and Distribution</w:t>
      </w:r>
    </w:p>
    <w:p>
      <w:pPr>
        <w:pStyle w:val="BodyText"/>
      </w:pPr>
      <w:r>
        <w:t xml:space="preserve">Assuming a total product/material weight of 0.42 kg (0.00042 tonnes) for transport calculations:</w:t>
      </w:r>
    </w:p>
    <w:p>
      <w:pPr>
        <w:numPr>
          <w:ilvl w:val="0"/>
          <w:numId w:val="1010"/>
        </w:numPr>
        <w:pStyle w:val="Compact"/>
      </w:pPr>
      <w:r>
        <w:t xml:space="preserve">Sea Freight (Europe to China for materials, 15,000 km): 0.00042 tonnes * 15,000 km * 0.016142 kgCO2e/tonne-km = 0.1017 kgCO2e</w:t>
      </w:r>
    </w:p>
    <w:p>
      <w:pPr>
        <w:numPr>
          <w:ilvl w:val="0"/>
          <w:numId w:val="1010"/>
        </w:numPr>
        <w:pStyle w:val="Compact"/>
      </w:pPr>
      <w:r>
        <w:t xml:space="preserve">Road Transport (Inland, China, 1,000 km): 0.00042 tonnes * 1,000 km * 0.15 kgCO2e/tonne-km (illustrative EF) = 0.063 kgCO2e</w:t>
      </w:r>
    </w:p>
    <w:p>
      <w:pPr>
        <w:numPr>
          <w:ilvl w:val="0"/>
          <w:numId w:val="1010"/>
        </w:numPr>
        <w:pStyle w:val="Compact"/>
      </w:pPr>
      <w:r>
        <w:t xml:space="preserve">**Total Upstream Transportation Emissions:**</w:t>
      </w:r>
      <w:r>
        <w:t xml:space="preserve"> </w:t>
      </w:r>
      <w:r>
        <w:rPr>
          <w:bCs/>
          <w:b/>
        </w:rPr>
        <w:t xml:space="preserve">0.1647 kgCO2e/unit</w:t>
      </w:r>
    </w:p>
    <w:bookmarkEnd w:id="42"/>
    <w:bookmarkStart w:id="43" w:name="downstream-emissions"/>
    <w:p>
      <w:pPr>
        <w:pStyle w:val="Heading4"/>
      </w:pPr>
      <w:r>
        <w:t xml:space="preserve">4.3.2. Downstream Emissions</w:t>
      </w:r>
    </w:p>
    <w:p>
      <w:pPr>
        <w:pStyle w:val="FirstParagraph"/>
      </w:pPr>
      <w:r>
        <w:rPr>
          <w:bCs/>
          <w:b/>
        </w:rPr>
        <w:t xml:space="preserve">Category 9: Downstream Transportation and Distribution (Last-Mile Delivery)</w:t>
      </w:r>
    </w:p>
    <w:p>
      <w:pPr>
        <w:numPr>
          <w:ilvl w:val="0"/>
          <w:numId w:val="1011"/>
        </w:numPr>
        <w:pStyle w:val="Compact"/>
      </w:pPr>
      <w:r>
        <w:t xml:space="preserve">Road Transport (Last-mile delivery, 50 km): 0.00042 tonnes * 50 km * 0.15 kgCO2e/tonne-km (illustrative EF) = 0.00315 kgCO2e</w:t>
      </w:r>
    </w:p>
    <w:p>
      <w:pPr>
        <w:numPr>
          <w:ilvl w:val="0"/>
          <w:numId w:val="1011"/>
        </w:numPr>
        <w:pStyle w:val="Compact"/>
      </w:pPr>
      <w:r>
        <w:t xml:space="preserve">**Total Last-Mile Delivery Emissions:**</w:t>
      </w:r>
      <w:r>
        <w:t xml:space="preserve"> </w:t>
      </w:r>
      <w:r>
        <w:rPr>
          <w:bCs/>
          <w:b/>
        </w:rPr>
        <w:t xml:space="preserve">0.00315 kgCO2e/unit</w:t>
      </w:r>
    </w:p>
    <w:p>
      <w:pPr>
        <w:pStyle w:val="FirstParagraph"/>
      </w:pPr>
      <w:r>
        <w:rPr>
          <w:bCs/>
          <w:b/>
        </w:rPr>
        <w:t xml:space="preserve">Category 11: Use of Sold Products</w:t>
      </w:r>
    </w:p>
    <w:p>
      <w:pPr>
        <w:pStyle w:val="BodyText"/>
      </w:pPr>
      <w:r>
        <w:t xml:space="preserve">Based on a lifespan of `tjyqeseovn` = 5 years and energy consumption of `tztwgwmvnk` = 10 kWh/year, assuming an average European grid mix (0.27 kgCO2e/kWh for illustration):</w:t>
      </w:r>
    </w:p>
    <w:p>
      <w:pPr>
        <w:numPr>
          <w:ilvl w:val="0"/>
          <w:numId w:val="1012"/>
        </w:numPr>
        <w:pStyle w:val="Compact"/>
      </w:pPr>
      <w:r>
        <w:t xml:space="preserve">Annual Use Phase Emissions: 10 kWh/year * 0.27 kgCO2e/kWh = 2.7 kgCO2e/year</w:t>
      </w:r>
    </w:p>
    <w:p>
      <w:pPr>
        <w:numPr>
          <w:ilvl w:val="0"/>
          <w:numId w:val="1012"/>
        </w:numPr>
        <w:pStyle w:val="Compact"/>
      </w:pPr>
      <w:r>
        <w:t xml:space="preserve">**Total Use Phase Emissions:** 2.7 kgCO2e/year * 5 years =</w:t>
      </w:r>
      <w:r>
        <w:t xml:space="preserve"> </w:t>
      </w:r>
      <w:r>
        <w:rPr>
          <w:bCs/>
          <w:b/>
        </w:rPr>
        <w:t xml:space="preserve">13.50 kgCO2e/unit</w:t>
      </w:r>
    </w:p>
    <w:p>
      <w:pPr>
        <w:pStyle w:val="FirstParagraph"/>
      </w:pPr>
      <w:r>
        <w:rPr>
          <w:bCs/>
          <w:b/>
        </w:rPr>
        <w:t xml:space="preserve">Category 12: End-of-Life Treatment of Sold Products</w:t>
      </w:r>
    </w:p>
    <w:p>
      <w:pPr>
        <w:pStyle w:val="BodyText"/>
      </w:pPr>
      <w:r>
        <w:t xml:space="preserve">Assuming a product weight of 0.42 kg for EoL, and an effective recycling rate of 20% (remaining 80% disposed of). Recycling processes can significantly reduce GHG emissions by avoiding virgin material production, but for simplicity here we focus on emissions from non-recycled waste, with the understanding that active circular programs (`hiqhxvdyhx`) mitigate overall impact.</w:t>
      </w:r>
    </w:p>
    <w:p>
      <w:pPr>
        <w:numPr>
          <w:ilvl w:val="0"/>
          <w:numId w:val="1013"/>
        </w:numPr>
        <w:pStyle w:val="Compact"/>
      </w:pPr>
      <w:r>
        <w:t xml:space="preserve">Disposed Product Mass: 0.42 kg * (1 - 0.20) = 0.336 kg</w:t>
      </w:r>
    </w:p>
    <w:p>
      <w:pPr>
        <w:numPr>
          <w:ilvl w:val="0"/>
          <w:numId w:val="1013"/>
        </w:numPr>
        <w:pStyle w:val="Compact"/>
      </w:pPr>
      <w:r>
        <w:t xml:space="preserve">Illustrative Disposal Emission Factor: 0.5 kgCO2e/kg (for incineration/landfill of complex e-waste)</w:t>
      </w:r>
    </w:p>
    <w:p>
      <w:pPr>
        <w:numPr>
          <w:ilvl w:val="0"/>
          <w:numId w:val="1013"/>
        </w:numPr>
        <w:pStyle w:val="Compact"/>
      </w:pPr>
      <w:r>
        <w:t xml:space="preserve">**Total EoL Disposal Emissions:** 0.336 kg * 0.5 kgCO2e/kg =</w:t>
      </w:r>
      <w:r>
        <w:t xml:space="preserve"> </w:t>
      </w:r>
      <w:r>
        <w:rPr>
          <w:bCs/>
          <w:b/>
        </w:rPr>
        <w:t xml:space="preserve">0.168 kgCO2e/unit</w:t>
      </w:r>
    </w:p>
    <w:bookmarkEnd w:id="43"/>
    <w:bookmarkEnd w:id="44"/>
    <w:bookmarkStart w:id="45" w:name="summary-of-product-carbon-footprint"/>
    <w:p>
      <w:pPr>
        <w:pStyle w:val="Heading3"/>
      </w:pPr>
      <w:r>
        <w:t xml:space="preserve">4.4. Summary of Product Carbon Footprint</w:t>
      </w:r>
    </w:p>
    <w:p>
      <w:pPr>
        <w:pStyle w:val="FirstParagraph"/>
      </w:pPr>
      <w:r>
        <w:t xml:space="preserve">The estimated Product Carbon Footprint for one functional unit of yfmguuhqro is summarized below:</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Materials Acquisition &amp; Pre-processing</w:t>
            </w:r>
          </w:p>
        </w:tc>
        <w:tc>
          <w:tcPr/>
          <w:p>
            <w:pPr>
              <w:pStyle w:val="Compact"/>
              <w:jc w:val="left"/>
            </w:pPr>
            <w:r>
              <w:t xml:space="preserve">Scope 3 (Cat. 1)</w:t>
            </w:r>
          </w:p>
        </w:tc>
        <w:tc>
          <w:tcPr/>
          <w:p>
            <w:pPr>
              <w:pStyle w:val="Compact"/>
              <w:jc w:val="left"/>
            </w:pPr>
            <w:r>
              <w:t xml:space="preserve">2.245</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2.0335</w:t>
            </w:r>
          </w:p>
        </w:tc>
      </w:tr>
      <w:tr>
        <w:tc>
          <w:tcPr/>
          <w:p>
            <w:pPr>
              <w:pStyle w:val="Compact"/>
              <w:jc w:val="left"/>
            </w:pPr>
            <w:r>
              <w:t xml:space="preserve">Upstream Transportation</w:t>
            </w:r>
          </w:p>
        </w:tc>
        <w:tc>
          <w:tcPr/>
          <w:p>
            <w:pPr>
              <w:pStyle w:val="Compact"/>
              <w:jc w:val="left"/>
            </w:pPr>
            <w:r>
              <w:t xml:space="preserve">Scope 3 (Cat. 4)</w:t>
            </w:r>
          </w:p>
        </w:tc>
        <w:tc>
          <w:tcPr/>
          <w:p>
            <w:pPr>
              <w:pStyle w:val="Compact"/>
              <w:jc w:val="left"/>
            </w:pPr>
            <w:r>
              <w:t xml:space="preserve">0.1647</w:t>
            </w:r>
          </w:p>
        </w:tc>
      </w:tr>
      <w:tr>
        <w:tc>
          <w:tcPr/>
          <w:p>
            <w:pPr>
              <w:pStyle w:val="Compact"/>
              <w:jc w:val="left"/>
            </w:pPr>
            <w:r>
              <w:t xml:space="preserve">Downstream Transportation (Last-Mile)</w:t>
            </w:r>
          </w:p>
        </w:tc>
        <w:tc>
          <w:tcPr/>
          <w:p>
            <w:pPr>
              <w:pStyle w:val="Compact"/>
              <w:jc w:val="left"/>
            </w:pPr>
            <w:r>
              <w:t xml:space="preserve">Scope 3 (Cat. 9)</w:t>
            </w:r>
          </w:p>
        </w:tc>
        <w:tc>
          <w:tcPr/>
          <w:p>
            <w:pPr>
              <w:pStyle w:val="Compact"/>
              <w:jc w:val="left"/>
            </w:pPr>
            <w:r>
              <w:t xml:space="preserve">0.00315</w:t>
            </w:r>
          </w:p>
        </w:tc>
      </w:tr>
      <w:tr>
        <w:tc>
          <w:tcPr/>
          <w:p>
            <w:pPr>
              <w:pStyle w:val="Compact"/>
              <w:jc w:val="left"/>
            </w:pPr>
            <w:r>
              <w:t xml:space="preserve">Use Phase</w:t>
            </w:r>
          </w:p>
        </w:tc>
        <w:tc>
          <w:tcPr/>
          <w:p>
            <w:pPr>
              <w:pStyle w:val="Compact"/>
              <w:jc w:val="left"/>
            </w:pPr>
            <w:r>
              <w:t xml:space="preserve">Scope 3 (Cat. 11)</w:t>
            </w:r>
          </w:p>
        </w:tc>
        <w:tc>
          <w:tcPr/>
          <w:p>
            <w:pPr>
              <w:pStyle w:val="Compact"/>
              <w:jc w:val="left"/>
            </w:pPr>
            <w:r>
              <w:t xml:space="preserve">13.50</w:t>
            </w:r>
          </w:p>
        </w:tc>
      </w:tr>
      <w:tr>
        <w:tc>
          <w:tcPr/>
          <w:p>
            <w:pPr>
              <w:pStyle w:val="Compact"/>
              <w:jc w:val="left"/>
            </w:pPr>
            <w:r>
              <w:t xml:space="preserve">End-of-Life</w:t>
            </w:r>
          </w:p>
        </w:tc>
        <w:tc>
          <w:tcPr/>
          <w:p>
            <w:pPr>
              <w:pStyle w:val="Compact"/>
              <w:jc w:val="left"/>
            </w:pPr>
            <w:r>
              <w:t xml:space="preserve">Scope 3 (Cat. 12)</w:t>
            </w:r>
          </w:p>
        </w:tc>
        <w:tc>
          <w:tcPr/>
          <w:p>
            <w:pPr>
              <w:pStyle w:val="Compact"/>
              <w:jc w:val="left"/>
            </w:pPr>
            <w:r>
              <w:t xml:space="preserve">0.168</w:t>
            </w:r>
          </w:p>
        </w:tc>
      </w:tr>
      <w:tr>
        <w:tc>
          <w:tcPr>
            <w:gridSpan w:val="2"/>
          </w:tcPr>
          <w:p>
            <w:pPr>
              <w:pStyle w:val="Compact"/>
              <w:jc w:val="right"/>
            </w:pPr>
            <w:r>
              <w:t xml:space="preserve">Total Product Carbon Footprint:</w:t>
            </w:r>
          </w:p>
        </w:tc>
        <w:tc>
          <w:tcPr/>
          <w:p>
            <w:pPr>
              <w:pStyle w:val="Compact"/>
              <w:jc w:val="left"/>
            </w:pPr>
            <w:r>
              <w:rPr>
                <w:bCs/>
                <w:b/>
              </w:rPr>
              <w:t xml:space="preserve">18.11435 kgCO2e/unit</w:t>
            </w:r>
          </w:p>
        </w:tc>
      </w:tr>
    </w:tbl>
    <w:p>
      <w:pPr>
        <w:pStyle w:val="BodyText"/>
      </w:pPr>
      <w:r>
        <w:rPr>
          <w:iCs/>
          <w:i/>
        </w:rPr>
        <w:t xml:space="preserve">Note: All calculations are illustrative, based on the provided placeholder parameters and generic emission factors. A full, verifiable PCF would require primary data and specific, audited emission factors.</w:t>
      </w:r>
    </w:p>
    <w:p>
      <w:r>
        <w:pict>
          <v:rect style="width:0;height:1.5pt" o:hralign="center" o:hrstd="t" o:hr="t"/>
        </w:pict>
      </w:r>
    </w:p>
    <w:bookmarkEnd w:id="45"/>
    <w:bookmarkEnd w:id="46"/>
    <w:bookmarkStart w:id="49" w:name="review-report"/>
    <w:p>
      <w:pPr>
        <w:pStyle w:val="Heading2"/>
      </w:pPr>
      <w:r>
        <w:t xml:space="preserve">5. Review &amp; Report</w:t>
      </w:r>
    </w:p>
    <w:bookmarkStart w:id="47" w:name="hotspot-identification"/>
    <w:p>
      <w:pPr>
        <w:pStyle w:val="Heading3"/>
      </w:pPr>
      <w:r>
        <w:t xml:space="preserve">5.1. Hotspot Identification</w:t>
      </w:r>
    </w:p>
    <w:p>
      <w:pPr>
        <w:pStyle w:val="FirstParagraph"/>
      </w:pPr>
      <w:r>
        <w:t xml:space="preserve">Based on the illustrative calculations, the primary emission hotspots for yfmguuhqro are:</w:t>
      </w:r>
    </w:p>
    <w:p>
      <w:pPr>
        <w:numPr>
          <w:ilvl w:val="0"/>
          <w:numId w:val="1014"/>
        </w:numPr>
        <w:pStyle w:val="Compact"/>
      </w:pPr>
      <w:r>
        <w:t xml:space="preserve">**Use Phase (Scope 3, Category 11):** Constitutes the largest portion of the PCF (approx. 74.5%), driven by energy consumption over the product\'s `tjyqeseovn` (5-year) lifespan. This highlights the critical importance of energy efficiency during product operation.</w:t>
      </w:r>
    </w:p>
    <w:p>
      <w:pPr>
        <w:numPr>
          <w:ilvl w:val="0"/>
          <w:numId w:val="1014"/>
        </w:numPr>
        <w:pStyle w:val="Compact"/>
      </w:pPr>
      <w:r>
        <w:t xml:space="preserve">**Manufacturing (Scope 2):** Represents the second largest hotspot (approx. 11.2%), primarily due to electricity consumption in the production country (China) where the grid\'s carbon intensity is significant. Increased renewable energy usage (`udhmtvoehf`) in manufacturing is a direct mitigation lever.</w:t>
      </w:r>
    </w:p>
    <w:p>
      <w:pPr>
        <w:numPr>
          <w:ilvl w:val="0"/>
          <w:numId w:val="1014"/>
        </w:numPr>
        <w:pStyle w:val="Compact"/>
      </w:pPr>
      <w:r>
        <w:t xml:space="preserve">**Materials Acquisition (Scope 3, Category 1):** Contributes approximately 12.4% of the total PCF, emphasizing the impact of raw material selection and their embodied emissions. The choice of materials, their origin, and the processes involved in their production are crucial.</w:t>
      </w:r>
    </w:p>
    <w:bookmarkEnd w:id="47"/>
    <w:bookmarkStart w:id="48" w:name="reliability-statement"/>
    <w:p>
      <w:pPr>
        <w:pStyle w:val="Heading3"/>
      </w:pPr>
      <w:r>
        <w:t xml:space="preserve">5.2. Reliability Statement</w:t>
      </w:r>
    </w:p>
    <w:p>
      <w:pPr>
        <w:pStyle w:val="FirstParagraph"/>
      </w:pPr>
      <w:r>
        <w:t xml:space="preserve">This Product Carbon Footprint analysis has been conducted in accordance with the principles of the GHG Protocol, aiming for completeness, consistency, accuracy, relevance, and transparency. The report incorporates the most up-to-date guidance, including considerations for the forthcoming 2026 LSR Standard and Scope 3 reporting requirements. However, it is important to note that specific activity data and emission factors were illustrative where actual values for `dvszukjf`, `qiskjhojlu`, `udhmtvoehf`, `jdtudhvptn`, `tjyqeseovn`, `tztwgwmvnk`, `ggzifhhniz`, and `hiqhxvdyhx` were provided as placeholders. Therefore, the results presented herein should be considered as an estimation and are indicative of the product\'s environmental performance. For enhanced reliability, primary data collection from suppliers and verified, specific emission factors would be required for a formal, auditable PCF declaration.</w:t>
      </w:r>
    </w:p>
    <w:p>
      <w:pPr>
        <w:pStyle w:val="BodyText"/>
      </w:pPr>
      <w:r>
        <w:t xml:space="preserve">The analysis demonstrates a strong commitment to transparent GHG accounting and provides rjpkzsjwyr with actionable insights for reducing the environmental impact of yfmguuhqro across its lifecycle.</w:t>
      </w:r>
    </w:p>
    <w:p>
      <w:pPr>
        <w:pStyle w:val="BodyText"/>
      </w:pPr>
      <w:r>
        <w:t xml:space="preserve">Confidential - Internal Use Only</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yfmguuhqro</dc:title>
  <dc:creator/>
  <dc:description>Detailed Product Carbon Footprint (PCF) analysis for product yfmguuhqro by Senior Sustainability Consultant wuoejugdfz for company rjpkzsjwyr, adhering to GHG Protocol standards and 2026 updates, including Land Sector and Removals Standard and Scope 3 compliance.</dc:description>
  <dc:language>en</dc:language>
  <cp:keywords/>
  <dcterms:created xsi:type="dcterms:W3CDTF">2026-05-30T23:55:57Z</dcterms:created>
  <dcterms:modified xsi:type="dcterms:W3CDTF">2026-05-30T23:55:57Z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