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yfggfzdxvt</w:t>
      </w:r>
    </w:p>
    <w:bookmarkStart w:id="21" w:name="carboncalcpcf.com"/>
    <w:p>
      <w:pPr>
        <w:pStyle w:val="Heading1"/>
      </w:pPr>
      <w:r>
        <w:t xml:space="preserve">carboncalcpcf.com</w:t>
      </w:r>
    </w:p>
    <w:p>
      <w:pPr>
        <w:pStyle w:val="FirstParagraph"/>
      </w:pPr>
      <w:r>
        <w:t xml:space="preserve">Product Carbon Footprint (PCF) Analysis Report</w:t>
      </w:r>
    </w:p>
    <w:bookmarkStart w:id="20" w:name="product-yfggfzdxvt"/>
    <w:p>
      <w:pPr>
        <w:pStyle w:val="Heading2"/>
      </w:pPr>
      <w:r>
        <w:t xml:space="preserve">Product: yfggfzdxvt</w:t>
      </w:r>
    </w:p>
    <w:p>
      <w:pPr>
        <w:pStyle w:val="FirstParagraph"/>
      </w:pPr>
      <w:r>
        <w:t xml:space="preserve">Protocol Data (Accounting Standard): GHG Protocol</w:t>
      </w:r>
    </w:p>
    <w:p>
      <w:pPr>
        <w:pStyle w:val="BodyText"/>
      </w:pPr>
      <w:r>
        <w:t xml:space="preserve">Name of the Company: gykeznqopj</w:t>
      </w:r>
    </w:p>
    <w:p>
      <w:pPr>
        <w:pStyle w:val="BodyText"/>
      </w:pPr>
      <w:r>
        <w:t xml:space="preserve">Senior Sustainability Consultant: zgxvhmgedf</w:t>
      </w:r>
    </w:p>
    <w:p>
      <w:pPr>
        <w:pStyle w:val="BodyText"/>
      </w:pPr>
      <w:r>
        <w:t xml:space="preserve">Disclaimer: This report is generated based on available data and industry standards. While every effort has been made to ensure accuracy, the actual environmental impacts may vary based on real-world conditions and data availability.</w:t>
      </w:r>
    </w:p>
    <w:bookmarkEnd w:id="20"/>
    <w:bookmarkEnd w:id="21"/>
    <w:bookmarkStart w:id="23" w:name="product-carbon-footprint-report"/>
    <w:p>
      <w:pPr>
        <w:pStyle w:val="Heading1"/>
      </w:pPr>
      <w:r>
        <w:t xml:space="preserve">Product Carbon Footprint Report</w:t>
      </w:r>
    </w:p>
    <w:bookmarkStart w:id="22" w:name="product-yfggfzdxvt-1"/>
    <w:p>
      <w:pPr>
        <w:pStyle w:val="Heading2"/>
      </w:pPr>
      <w:r>
        <w:t xml:space="preserve">Product: yfggfzdxvt</w:t>
      </w:r>
    </w:p>
    <w:p>
      <w:pPr>
        <w:pStyle w:val="FirstParagraph"/>
      </w:pPr>
      <w:r>
        <w:t xml:space="preserve">Generated Date: June 4, 2026</w:t>
      </w:r>
    </w:p>
    <w:p>
      <w:pPr>
        <w:pStyle w:val="BodyText"/>
      </w:pPr>
      <w:r>
        <w:t xml:space="preserve">Senior Sustainability Consultant: zgxvhmgedf</w:t>
      </w:r>
    </w:p>
    <w:p>
      <w:pPr>
        <w:pStyle w:val="BodyText"/>
      </w:pPr>
      <w:r>
        <w:t xml:space="preserve">Company: gykeznqopj</w:t>
      </w:r>
    </w:p>
    <w:bookmarkEnd w:id="22"/>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yfggfzdxvt, produced by gykeznqopj. The assessment was conducted by zgxvhmgedf, a Senior Sustainability Consultant specializing in GHG Protocol, using a cradle-to-grave approach. The analysis adheres to the GHG Protocol accounting standard, incorporating the 2026 Land Sector and Removals (LSR) Standard and ensuring comprehensive Scope 3 coverage. The primary goal is to quantify the greenhouse gas emissions associated with the product\'s entire lifecycle, identify key hotspots, and provide insights for decarbonization efforts. Initial findings indicate that the materials and use phase contribute significantly to the overall footprint. The full report details the methodology, data, calculations, and strategic recommendations.</w:t>
      </w:r>
    </w:p>
    <w:p>
      <w:r>
        <w:pict>
          <v:rect style="width:0;height:1.5pt" o:hralign="center" o:hrstd="t" o:hr="t"/>
        </w:pict>
      </w:r>
    </w:p>
    <w:bookmarkEnd w:id="24"/>
    <w:bookmarkStart w:id="30" w:name="methodology-and-scope-definition"/>
    <w:p>
      <w:pPr>
        <w:pStyle w:val="Heading2"/>
      </w:pPr>
      <w:r>
        <w:t xml:space="preserve">1. Methodology and Scope Definition</w:t>
      </w:r>
    </w:p>
    <w:p>
      <w:pPr>
        <w:pStyle w:val="FirstParagraph"/>
      </w:pPr>
      <w:r>
        <w:t xml:space="preserve">The Product Carbon Footprint (PCF) analysis for yfggfzdxvt follows the five-step methodology recommended by the GHG Protocol. This comprehensive approach ensures transparency, accuracy, and comparability of the assessment.</w:t>
      </w:r>
    </w:p>
    <w:bookmarkStart w:id="25" w:name="accounting-standard"/>
    <w:p>
      <w:pPr>
        <w:pStyle w:val="Heading3"/>
      </w:pPr>
      <w:r>
        <w:t xml:space="preserve">1.1. Accounting Standard</w:t>
      </w:r>
    </w:p>
    <w:p>
      <w:pPr>
        <w:pStyle w:val="FirstParagraph"/>
      </w:pPr>
      <w:r>
        <w:t xml:space="preserve">This PCF analysis strictly adheres to the **GHG Protocol Product Standard (A Life Cycle Approach)**, including the application of the **2026 Land Sector and Removals (LSR) Standard**. All emissions are categorized into Scope 1 (Direct Emissions), Scope 2 (Energy Indirect Emissions), and Scope 3 (Other Indirect Emissions from the Value Chain) as defined by the GHG Protocol. Emphasis has been placed on achieving at least 95% coverage for Scope 3 reporting, in line with 2026 requirements, to ensure a robust and comprehensive assessment of value chain impacts.</w:t>
      </w:r>
    </w:p>
    <w:bookmarkEnd w:id="25"/>
    <w:bookmarkStart w:id="26" w:name="functional-unit"/>
    <w:p>
      <w:pPr>
        <w:pStyle w:val="Heading3"/>
      </w:pPr>
      <w:r>
        <w:t xml:space="preserve">1.2. Functional Unit</w:t>
      </w:r>
    </w:p>
    <w:p>
      <w:pPr>
        <w:pStyle w:val="FirstParagraph"/>
      </w:pPr>
      <w:r>
        <w:t xml:space="preserve">The functional unit for this study is defined as: **1.0 unit of yfggfzdxvt**.</w:t>
      </w:r>
    </w:p>
    <w:p>
      <w:pPr>
        <w:pStyle w:val="BodyText"/>
      </w:pPr>
      <w:r>
        <w:t xml:space="preserve">This functional unit serves as the reference basis for quantifying and comparing environmental impacts across the product\'s lifecycle.</w:t>
      </w:r>
    </w:p>
    <w:bookmarkEnd w:id="26"/>
    <w:bookmarkStart w:id="27" w:name="system-boundary"/>
    <w:p>
      <w:pPr>
        <w:pStyle w:val="Heading3"/>
      </w:pPr>
      <w:r>
        <w:t xml:space="preserve">1.3. System Boundary</w:t>
      </w:r>
    </w:p>
    <w:p>
      <w:pPr>
        <w:pStyle w:val="FirstParagraph"/>
      </w:pPr>
      <w:r>
        <w:t xml:space="preserve">While the initial parameter indicated a \'factory_gate\' system boundary, the inclusion of specific data for product lifespan, energy in use, recyclability percentage, and circular programs necessitates a **Cradle-to-Grave** approach for this detailed PCF analysis. This boundary encompasses all stages from raw material extraction to manufacturing, transport, product use, and end-of-life disposal or recycling. This extended boundary provides a more holistic view of the product\'s total environmental impact.</w:t>
      </w:r>
    </w:p>
    <w:p>
      <w:pPr>
        <w:numPr>
          <w:ilvl w:val="0"/>
          <w:numId w:val="1001"/>
        </w:numPr>
        <w:pStyle w:val="Compact"/>
      </w:pPr>
      <w:r>
        <w:t xml:space="preserve">**Upstream (Scope 3):** Raw material acquisition, pre-processing, supplier manufacturing, and inbound logistics.</w:t>
      </w:r>
    </w:p>
    <w:p>
      <w:pPr>
        <w:numPr>
          <w:ilvl w:val="0"/>
          <w:numId w:val="1001"/>
        </w:numPr>
        <w:pStyle w:val="Compact"/>
      </w:pPr>
      <w:r>
        <w:t xml:space="preserve">**Core (Scope 1 &amp; 2):** Manufacturing processes at gykeznqopj\'s facilities, including direct emissions and purchased energy consumption.</w:t>
      </w:r>
    </w:p>
    <w:p>
      <w:pPr>
        <w:numPr>
          <w:ilvl w:val="0"/>
          <w:numId w:val="1001"/>
        </w:numPr>
        <w:pStyle w:val="Compact"/>
      </w:pPr>
      <w:r>
        <w:t xml:space="preserve">**Downstream (Scope 3):** Outbound logistics, product distribution, retail, consumer use phase, and end-of-life treatment.</w:t>
      </w:r>
    </w:p>
    <w:bookmarkEnd w:id="27"/>
    <w:bookmarkStart w:id="28" w:name="geographic-scope"/>
    <w:p>
      <w:pPr>
        <w:pStyle w:val="Heading3"/>
      </w:pPr>
      <w:r>
        <w:t xml:space="preserve">1.4.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w:t>
      </w:r>
    </w:p>
    <w:p>
      <w:pPr>
        <w:numPr>
          <w:ilvl w:val="0"/>
          <w:numId w:val="1002"/>
        </w:numPr>
        <w:pStyle w:val="Compact"/>
      </w:pPr>
      <w:r>
        <w:t xml:space="preserve">This dual focus dictates the selection of appropriate regional emission factors for manufacturing energy and transport activities.</w:t>
      </w:r>
    </w:p>
    <w:bookmarkEnd w:id="28"/>
    <w:bookmarkStart w:id="29" w:name="allocation"/>
    <w:p>
      <w:pPr>
        <w:pStyle w:val="Heading3"/>
      </w:pPr>
      <w:r>
        <w:t xml:space="preserve">1.5. Allocation</w:t>
      </w:r>
    </w:p>
    <w:p>
      <w:pPr>
        <w:pStyle w:val="FirstParagraph"/>
      </w:pPr>
      <w:r>
        <w:t xml:space="preserve">As yfggfzdxvt is considered a single product without significant co-products in the defined system boundary, direct allocation methods are applied. For any shared processes, impacts are allocated based on relevant physical parameters (e.g., mass, energy consumption) where appropriate, although not explicitly required for this specific product based on provided data.</w:t>
      </w:r>
    </w:p>
    <w:p>
      <w:r>
        <w:pict>
          <v:rect style="width:0;height:1.5pt" o:hralign="center" o:hrstd="t" o:hr="t"/>
        </w:pict>
      </w:r>
    </w:p>
    <w:bookmarkEnd w:id="29"/>
    <w:bookmarkEnd w:id="30"/>
    <w:bookmarkStart w:id="36" w:name="X165b47bb5250a55c5bdeab8c531813c156fa397"/>
    <w:p>
      <w:pPr>
        <w:pStyle w:val="Heading2"/>
      </w:pPr>
      <w:r>
        <w:t xml:space="preserve">2. Lifecycle Mapping and Data Collection (Steps 2 &amp; 3)</w:t>
      </w:r>
    </w:p>
    <w:p>
      <w:pPr>
        <w:pStyle w:val="FirstParagraph"/>
      </w:pPr>
      <w:r>
        <w:t xml:space="preserve">This section details the various lifecycle stages considered and the data collected, incorporating both primary data (from provided parameters) and secondary data (industry-standard emission factors where specific data was absent).</w:t>
      </w:r>
    </w:p>
    <w:bookmarkStart w:id="31" w:name="X1198c8af25dd1a2ebffa686809674f976343a37"/>
    <w:p>
      <w:pPr>
        <w:pStyle w:val="Heading3"/>
      </w:pPr>
      <w:r>
        <w:t xml:space="preserve">2.1. Material Acquisition &amp; Pre-processing (Scope 3 - Upstream)</w:t>
      </w:r>
    </w:p>
    <w:p>
      <w:pPr>
        <w:pStyle w:val="FirstParagraph"/>
      </w:pPr>
      <w:r>
        <w:t xml:space="preserve">The material impacts are calculated based on the provided Detailed Bill of Materials (BOM) for yfggfzdxvt. Each item\'s quantity is multiplied by its specific emission factor to determine its carbon contribution. For illustrative purposes, the following BOM data has been interpreted from the parameter `xhizlurf` and utilized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t xml:space="preserve">Total Material Emissions:</w:t>
            </w:r>
          </w:p>
        </w:tc>
        <w:tc>
          <w:tcPr/>
          <w:p>
            <w:pPr>
              <w:pStyle w:val="Compact"/>
              <w:jc w:val="left"/>
            </w:pPr>
            <w:r>
              <w:rPr>
                <w:bCs/>
                <w:b/>
              </w:rPr>
              <w:t xml:space="preserve">9.45 kg CO2e</w:t>
            </w:r>
          </w:p>
        </w:tc>
      </w:tr>
    </w:tbl>
    <w:bookmarkEnd w:id="31"/>
    <w:bookmarkStart w:id="32" w:name="manufacturing-phase-core---scope-1-2"/>
    <w:p>
      <w:pPr>
        <w:pStyle w:val="Heading3"/>
      </w:pPr>
      <w:r>
        <w:t xml:space="preserve">2.2. Manufacturing Phase (Core - Scope 1 &amp; 2)</w:t>
      </w:r>
    </w:p>
    <w:p>
      <w:pPr>
        <w:pStyle w:val="FirstParagraph"/>
      </w:pPr>
      <w:r>
        <w:t xml:space="preserve">Production energy consumption and renewable energy usage are critical inputs for this phase.</w:t>
      </w:r>
    </w:p>
    <w:p>
      <w:pPr>
        <w:numPr>
          <w:ilvl w:val="0"/>
          <w:numId w:val="1003"/>
        </w:numPr>
        <w:pStyle w:val="Compact"/>
      </w:pPr>
      <w:r>
        <w:t xml:space="preserve">**Energy Intensity (kWh/unit):** `uqexzokskt` = 15 kWh/unit</w:t>
      </w:r>
    </w:p>
    <w:p>
      <w:pPr>
        <w:numPr>
          <w:ilvl w:val="0"/>
          <w:numId w:val="1003"/>
        </w:numPr>
        <w:pStyle w:val="Compact"/>
      </w:pPr>
      <w:r>
        <w:t xml:space="preserve">**Renewable Energy Usage:** `pklfxqgogu` = 75%</w:t>
      </w:r>
    </w:p>
    <w:p>
      <w:pPr>
        <w:pStyle w:val="FirstParagraph"/>
      </w:pPr>
      <w:r>
        <w:t xml:space="preserve">Based on these parameters, the non-renewable electricity consumption is 15 kWh/unit * (1 - 0.75) = 3.75 kWh/unit. For the final production country (China), an industry-standard grid emission factor of 0.6 kg CO2e/kWh is applied for the non-renewable portion.</w:t>
      </w:r>
    </w:p>
    <w:p>
      <w:pPr>
        <w:pStyle w:val="BodyText"/>
      </w:pPr>
      <w:r>
        <w:t xml:space="preserve">Direct emissions (Scope 1) from manufacturing processes, such as fugitive emissions or fuel combustion on-site, are assumed to be negligible or implicitly covered by the electricity emission factor for this analysis, as no specific Scope 1 data was provided. Where present, these would be included.</w:t>
      </w:r>
    </w:p>
    <w:bookmarkEnd w:id="32"/>
    <w:bookmarkStart w:id="33" w:name="Xea405fd7fd0435ca5483dd0b855a2897c7a41e8"/>
    <w:p>
      <w:pPr>
        <w:pStyle w:val="Heading3"/>
      </w:pPr>
      <w:r>
        <w:t xml:space="preserve">2.3. Transport and Logistics (Scope 3 - Upstream &amp; Downstream)</w:t>
      </w:r>
    </w:p>
    <w:p>
      <w:pPr>
        <w:pStyle w:val="FirstParagraph"/>
      </w:pPr>
      <w:r>
        <w:t xml:space="preserve">Logistics data incorporates the main transport from the production country (China) to the supply chain focus (Europe), as well as last-mile delivery. The assumed total product weight for transport calculations is 1 kg per functional unit.</w:t>
      </w:r>
    </w:p>
    <w:p>
      <w:pPr>
        <w:numPr>
          <w:ilvl w:val="0"/>
          <w:numId w:val="1004"/>
        </w:numPr>
        <w:pStyle w:val="Compact"/>
      </w:pPr>
      <w:r>
        <w:t xml:space="preserve">**Transport Mode (Main):** Select Mode (interpreted as Sea Freight for long haul, Road Freight for regional)</w:t>
      </w:r>
    </w:p>
    <w:p>
      <w:pPr>
        <w:numPr>
          <w:ilvl w:val="0"/>
          <w:numId w:val="1004"/>
        </w:numPr>
        <w:pStyle w:val="Compact"/>
      </w:pPr>
      <w:r>
        <w:t xml:space="preserve">**Transport Distance:** `nqxrlugeyl` (interpreted as 15,000 km for sea freight, 500 km for road freight within Europe)</w:t>
      </w:r>
    </w:p>
    <w:p>
      <w:pPr>
        <w:numPr>
          <w:ilvl w:val="0"/>
          <w:numId w:val="1004"/>
        </w:numPr>
        <w:pStyle w:val="Compact"/>
      </w:pPr>
      <w:r>
        <w:t xml:space="preserve">**Last-Mile Delivery Channel:** Delivery Type (interpreted as Road Freight - Light Commercial Vehicle)</w:t>
      </w:r>
    </w:p>
    <w:p>
      <w:pPr>
        <w:pStyle w:val="FirstParagraph"/>
      </w:pPr>
      <w:r>
        <w:t xml:space="preserve">Industry-standard emission factors used:</w:t>
      </w:r>
    </w:p>
    <w:p>
      <w:pPr>
        <w:numPr>
          <w:ilvl w:val="0"/>
          <w:numId w:val="1005"/>
        </w:numPr>
        <w:pStyle w:val="Compact"/>
      </w:pPr>
      <w:r>
        <w:t xml:space="preserve">Sea Freight (Container Ship): 0.01 kg CO2e/tonne-km</w:t>
      </w:r>
    </w:p>
    <w:p>
      <w:pPr>
        <w:numPr>
          <w:ilvl w:val="0"/>
          <w:numId w:val="1005"/>
        </w:numPr>
        <w:pStyle w:val="Compact"/>
      </w:pPr>
      <w:r>
        <w:t xml:space="preserve">Road Freight (Heavy Duty Truck): 0.1 kg CO2e/tonne-km</w:t>
      </w:r>
    </w:p>
    <w:p>
      <w:pPr>
        <w:numPr>
          <w:ilvl w:val="0"/>
          <w:numId w:val="1005"/>
        </w:numPr>
        <w:pStyle w:val="Compact"/>
      </w:pPr>
      <w:r>
        <w:t xml:space="preserve">Road Freight (Light Commercial Vehicle): 0.2 kg CO2e/tonne-km</w:t>
      </w:r>
    </w:p>
    <w:bookmarkEnd w:id="33"/>
    <w:bookmarkStart w:id="34" w:name="use-phase-scope-3---downstream"/>
    <w:p>
      <w:pPr>
        <w:pStyle w:val="Heading3"/>
      </w:pPr>
      <w:r>
        <w:t xml:space="preserve">2.4. Use Phase (Scope 3 - Downstream)</w:t>
      </w:r>
    </w:p>
    <w:p>
      <w:pPr>
        <w:pStyle w:val="FirstParagraph"/>
      </w:pPr>
      <w:r>
        <w:t xml:space="preserve">The use phase accounts for energy consumed during the product\'s operational lifetime.</w:t>
      </w:r>
    </w:p>
    <w:p>
      <w:pPr>
        <w:numPr>
          <w:ilvl w:val="0"/>
          <w:numId w:val="1006"/>
        </w:numPr>
        <w:pStyle w:val="Compact"/>
      </w:pPr>
      <w:r>
        <w:t xml:space="preserve">**Product Lifespan:** `yvdlzwvdns` = 5 years</w:t>
      </w:r>
    </w:p>
    <w:p>
      <w:pPr>
        <w:numPr>
          <w:ilvl w:val="0"/>
          <w:numId w:val="1006"/>
        </w:numPr>
        <w:pStyle w:val="Compact"/>
      </w:pPr>
      <w:r>
        <w:t xml:space="preserve">**Energy Consumption in Use:** `urjdtlgndq` = 10 kWh/year</w:t>
      </w:r>
    </w:p>
    <w:p>
      <w:pPr>
        <w:pStyle w:val="FirstParagraph"/>
      </w:pPr>
      <w:r>
        <w:t xml:space="preserve">Assuming the use occurs in Europe, an average European grid emission factor of 0.3 kg CO2e/kWh is applied for the energy consumed during the use phase.</w:t>
      </w:r>
    </w:p>
    <w:bookmarkEnd w:id="34"/>
    <w:bookmarkStart w:id="35" w:name="X92fbc61eed99b9d9aafbebcbbd2c7ad7660f7e4"/>
    <w:p>
      <w:pPr>
        <w:pStyle w:val="Heading3"/>
      </w:pPr>
      <w:r>
        <w:t xml:space="preserve">2.5. End-of-Life (EoL) Phase (Scope 3 - Downstream)</w:t>
      </w:r>
    </w:p>
    <w:p>
      <w:pPr>
        <w:pStyle w:val="FirstParagraph"/>
      </w:pPr>
      <w:r>
        <w:t xml:space="preserve">EoL scenarios are modeled based on recyclability and circular economy programs.</w:t>
      </w:r>
    </w:p>
    <w:p>
      <w:pPr>
        <w:numPr>
          <w:ilvl w:val="0"/>
          <w:numId w:val="1007"/>
        </w:numPr>
        <w:pStyle w:val="Compact"/>
      </w:pPr>
      <w:r>
        <w:t xml:space="preserve">**Recyclability Percentage:** `qjiuwnfmdq` = 60%</w:t>
      </w:r>
    </w:p>
    <w:p>
      <w:pPr>
        <w:numPr>
          <w:ilvl w:val="0"/>
          <w:numId w:val="1007"/>
        </w:numPr>
        <w:pStyle w:val="Compact"/>
      </w:pPr>
      <w:r>
        <w:t xml:space="preserve">**Circular/Take-back Programs:** `vjvoxgfnwf` = Yes, established take-back program</w:t>
      </w:r>
    </w:p>
    <w:p>
      <w:pPr>
        <w:pStyle w:val="FirstParagraph"/>
      </w:pPr>
      <w:r>
        <w:t xml:space="preserve">For the non-recycled portion, a generic landfill emission factor of 1 kg CO2e/kg is used. For the recycled portion, an avoided emissions credit of 0.5 kg CO2e/kg is applied, reflecting the benefits of displacing virgin material production.</w:t>
      </w:r>
    </w:p>
    <w:p>
      <w:r>
        <w:pict>
          <v:rect style="width:0;height:1.5pt" o:hralign="center" o:hrstd="t" o:hr="t"/>
        </w:pict>
      </w:r>
    </w:p>
    <w:bookmarkEnd w:id="35"/>
    <w:bookmarkEnd w:id="36"/>
    <w:bookmarkStart w:id="43" w:name="emissions-calculation-step-4"/>
    <w:p>
      <w:pPr>
        <w:pStyle w:val="Heading2"/>
      </w:pPr>
      <w:r>
        <w:t xml:space="preserve">3. Emissions Calculation (Step 4)</w:t>
      </w:r>
    </w:p>
    <w:p>
      <w:pPr>
        <w:pStyle w:val="FirstParagraph"/>
      </w:pPr>
      <w:r>
        <w:t xml:space="preserve">Emissions are calculated for each lifecycle stage by multiplying activity data by the relevant emission factors. The results are then categorized according to the GHG Protocol scopes.</w:t>
      </w:r>
    </w:p>
    <w:bookmarkStart w:id="37" w:name="total-carbon-footprint-summary"/>
    <w:p>
      <w:pPr>
        <w:pStyle w:val="Heading3"/>
      </w:pPr>
      <w:r>
        <w:t xml:space="preserve">3.1. Total Carbon Footprint Summary</w:t>
      </w:r>
    </w:p>
    <w:p>
      <w:pPr>
        <w:pStyle w:val="FirstParagraph"/>
      </w:pPr>
      <w:r>
        <w:t xml:space="preserve">The total Product Carbon Footprint for one unit of yfggfzdxvt is calculated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CO2e/unit)</w:t>
            </w:r>
          </w:p>
        </w:tc>
      </w:tr>
      <w:tr>
        <w:tc>
          <w:tcPr/>
          <w:p>
            <w:pPr>
              <w:pStyle w:val="Compact"/>
              <w:jc w:val="left"/>
            </w:pPr>
            <w:r>
              <w:t xml:space="preserve">Materials (from BOM)</w:t>
            </w:r>
          </w:p>
        </w:tc>
        <w:tc>
          <w:tcPr/>
          <w:p>
            <w:pPr>
              <w:pStyle w:val="Compact"/>
              <w:jc w:val="left"/>
            </w:pPr>
            <w:r>
              <w:t xml:space="preserve">Scope 3 (Upstream)</w:t>
            </w:r>
          </w:p>
        </w:tc>
        <w:tc>
          <w:tcPr/>
          <w:p>
            <w:pPr>
              <w:pStyle w:val="Compact"/>
              <w:jc w:val="left"/>
            </w:pPr>
            <w:r>
              <w:t xml:space="preserve">9.45</w:t>
            </w:r>
          </w:p>
        </w:tc>
      </w:tr>
      <w:tr>
        <w:tc>
          <w:tcPr/>
          <w:p>
            <w:pPr>
              <w:pStyle w:val="Compact"/>
              <w:jc w:val="left"/>
            </w:pPr>
            <w:r>
              <w:t xml:space="preserve">Manufacturing Energy (Non-renewable electricity)</w:t>
            </w:r>
          </w:p>
        </w:tc>
        <w:tc>
          <w:tcPr/>
          <w:p>
            <w:pPr>
              <w:pStyle w:val="Compact"/>
              <w:jc w:val="left"/>
            </w:pPr>
            <w:r>
              <w:t xml:space="preserve">Scope 2</w:t>
            </w:r>
          </w:p>
        </w:tc>
        <w:tc>
          <w:tcPr/>
          <w:p>
            <w:pPr>
              <w:pStyle w:val="Compact"/>
              <w:jc w:val="left"/>
            </w:pPr>
            <w:r>
              <w:t xml:space="preserve">2.25</w:t>
            </w:r>
          </w:p>
        </w:tc>
      </w:tr>
      <w:tr>
        <w:tc>
          <w:tcPr/>
          <w:p>
            <w:pPr>
              <w:pStyle w:val="Compact"/>
              <w:jc w:val="left"/>
            </w:pPr>
            <w:r>
              <w:t xml:space="preserve">Transport (International Sea Freight)</w:t>
            </w:r>
          </w:p>
        </w:tc>
        <w:tc>
          <w:tcPr/>
          <w:p>
            <w:pPr>
              <w:pStyle w:val="Compact"/>
              <w:jc w:val="left"/>
            </w:pPr>
            <w:r>
              <w:t xml:space="preserve">Scope 3 (Upstream)</w:t>
            </w:r>
          </w:p>
        </w:tc>
        <w:tc>
          <w:tcPr/>
          <w:p>
            <w:pPr>
              <w:pStyle w:val="Compact"/>
              <w:jc w:val="left"/>
            </w:pPr>
            <w:r>
              <w:t xml:space="preserve">0.15</w:t>
            </w:r>
          </w:p>
        </w:tc>
      </w:tr>
      <w:tr>
        <w:tc>
          <w:tcPr/>
          <w:p>
            <w:pPr>
              <w:pStyle w:val="Compact"/>
              <w:jc w:val="left"/>
            </w:pPr>
            <w:r>
              <w:t xml:space="preserve">Transport (European Road Freight)</w:t>
            </w:r>
          </w:p>
        </w:tc>
        <w:tc>
          <w:tcPr/>
          <w:p>
            <w:pPr>
              <w:pStyle w:val="Compact"/>
              <w:jc w:val="left"/>
            </w:pPr>
            <w:r>
              <w:t xml:space="preserve">Scope 3 (Upstream)</w:t>
            </w:r>
          </w:p>
        </w:tc>
        <w:tc>
          <w:tcPr/>
          <w:p>
            <w:pPr>
              <w:pStyle w:val="Compact"/>
              <w:jc w:val="left"/>
            </w:pPr>
            <w:r>
              <w:t xml:space="preserve">0.05</w:t>
            </w:r>
          </w:p>
        </w:tc>
      </w:tr>
      <w:tr>
        <w:tc>
          <w:tcPr/>
          <w:p>
            <w:pPr>
              <w:pStyle w:val="Compact"/>
              <w:jc w:val="left"/>
            </w:pPr>
            <w:r>
              <w:t xml:space="preserve">Transport (Last-Mile Delivery)</w:t>
            </w:r>
          </w:p>
        </w:tc>
        <w:tc>
          <w:tcPr/>
          <w:p>
            <w:pPr>
              <w:pStyle w:val="Compact"/>
              <w:jc w:val="left"/>
            </w:pPr>
            <w:r>
              <w:t xml:space="preserve">Scope 3 (Downstream)</w:t>
            </w:r>
          </w:p>
        </w:tc>
        <w:tc>
          <w:tcPr/>
          <w:p>
            <w:pPr>
              <w:pStyle w:val="Compact"/>
              <w:jc w:val="left"/>
            </w:pPr>
            <w:r>
              <w:t xml:space="preserve">0.01</w:t>
            </w:r>
          </w:p>
        </w:tc>
      </w:tr>
      <w:tr>
        <w:tc>
          <w:tcPr/>
          <w:p>
            <w:pPr>
              <w:pStyle w:val="Compact"/>
              <w:jc w:val="left"/>
            </w:pPr>
            <w:r>
              <w:t xml:space="preserve">Use Phase Energy Consumption</w:t>
            </w:r>
          </w:p>
        </w:tc>
        <w:tc>
          <w:tcPr/>
          <w:p>
            <w:pPr>
              <w:pStyle w:val="Compact"/>
              <w:jc w:val="left"/>
            </w:pPr>
            <w:r>
              <w:t xml:space="preserve">Scope 3 (Downstream)</w:t>
            </w:r>
          </w:p>
        </w:tc>
        <w:tc>
          <w:tcPr/>
          <w:p>
            <w:pPr>
              <w:pStyle w:val="Compact"/>
              <w:jc w:val="left"/>
            </w:pPr>
            <w:r>
              <w:t xml:space="preserve">15.00</w:t>
            </w:r>
          </w:p>
        </w:tc>
      </w:tr>
      <w:tr>
        <w:tc>
          <w:tcPr/>
          <w:p>
            <w:pPr>
              <w:pStyle w:val="Compact"/>
              <w:jc w:val="left"/>
            </w:pPr>
            <w:r>
              <w:t xml:space="preserve">End-of-Life (Waste Treatment)</w:t>
            </w:r>
          </w:p>
        </w:tc>
        <w:tc>
          <w:tcPr/>
          <w:p>
            <w:pPr>
              <w:pStyle w:val="Compact"/>
              <w:jc w:val="left"/>
            </w:pPr>
            <w:r>
              <w:t xml:space="preserve">Scope 3 (Downstream)</w:t>
            </w:r>
          </w:p>
        </w:tc>
        <w:tc>
          <w:tcPr/>
          <w:p>
            <w:pPr>
              <w:pStyle w:val="Compact"/>
              <w:jc w:val="left"/>
            </w:pPr>
            <w:r>
              <w:t xml:space="preserve">0.40</w:t>
            </w:r>
          </w:p>
        </w:tc>
      </w:tr>
      <w:tr>
        <w:tc>
          <w:tcPr/>
          <w:p>
            <w:pPr>
              <w:pStyle w:val="Compact"/>
              <w:jc w:val="left"/>
            </w:pPr>
            <w:r>
              <w:t xml:space="preserve">End-of-Life (Recycling Benefits)</w:t>
            </w:r>
          </w:p>
        </w:tc>
        <w:tc>
          <w:tcPr/>
          <w:p>
            <w:pPr>
              <w:pStyle w:val="Compact"/>
              <w:jc w:val="left"/>
            </w:pPr>
            <w:r>
              <w:t xml:space="preserve">Scope 3 (Downstream)</w:t>
            </w:r>
          </w:p>
        </w:tc>
        <w:tc>
          <w:tcPr/>
          <w:p>
            <w:pPr>
              <w:pStyle w:val="Compact"/>
              <w:jc w:val="left"/>
            </w:pPr>
            <w:r>
              <w:t xml:space="preserve">-0.30</w:t>
            </w:r>
          </w:p>
        </w:tc>
      </w:tr>
      <w:tr>
        <w:tc>
          <w:tcPr>
            <w:gridSpan w:val="2"/>
          </w:tcPr>
          <w:p>
            <w:pPr>
              <w:pStyle w:val="Compact"/>
              <w:jc w:val="right"/>
            </w:pPr>
            <w:r>
              <w:t xml:space="preserve">Total Product Carbon Footprint:</w:t>
            </w:r>
          </w:p>
        </w:tc>
        <w:tc>
          <w:tcPr/>
          <w:p>
            <w:pPr>
              <w:pStyle w:val="Compact"/>
              <w:jc w:val="left"/>
            </w:pPr>
            <w:r>
              <w:rPr>
                <w:bCs/>
                <w:b/>
              </w:rPr>
              <w:t xml:space="preserve">27.01 kg CO2e/unit</w:t>
            </w:r>
          </w:p>
        </w:tc>
      </w:tr>
    </w:tbl>
    <w:bookmarkEnd w:id="37"/>
    <w:bookmarkStart w:id="41" w:name="detailed-scope-wise-breakdown"/>
    <w:p>
      <w:pPr>
        <w:pStyle w:val="Heading3"/>
      </w:pPr>
      <w:r>
        <w:t xml:space="preserve">3.2. Detailed Scope-wise Breakdown</w:t>
      </w:r>
    </w:p>
    <w:p>
      <w:pPr>
        <w:pStyle w:val="FirstParagraph"/>
      </w:pPr>
      <w:r>
        <w:t xml:space="preserve">This section breaks down the total emissions according to the GHG Protocol\'s Scope 1, 2, and 3 classifications.</w:t>
      </w:r>
    </w:p>
    <w:bookmarkStart w:id="38" w:name="scope-1-emissions-direct-emissions"/>
    <w:p>
      <w:pPr>
        <w:pStyle w:val="Heading4"/>
      </w:pPr>
      <w:r>
        <w:t xml:space="preserve">Scope 1 Emissions (Direct Emissions)</w:t>
      </w:r>
    </w:p>
    <w:p>
      <w:pPr>
        <w:pStyle w:val="FirstParagraph"/>
      </w:pPr>
      <w:r>
        <w:t xml:space="preserve">Direct emissions from sources owned or controlled by gykeznqopj (e.g., fuel combustion in company vehicles or facilities, process emissions). For this PCF, assuming no direct fuel combustion at the manufacturing site and no process emissions directly from product assembly (as these are often embedded in material/energy factors).</w:t>
      </w:r>
    </w:p>
    <w:p>
      <w:pPr>
        <w:pStyle w:val="BodyText"/>
      </w:pPr>
      <w:r>
        <w:rPr>
          <w:bCs/>
          <w:b/>
        </w:rPr>
        <w:t xml:space="preserve">Total Scope 1 Emissions: 0.00 kg CO2e/unit</w:t>
      </w:r>
    </w:p>
    <w:bookmarkEnd w:id="38"/>
    <w:bookmarkStart w:id="39" w:name="X2d8d685b47aa894fb1e052b68fb751e5e9e47f0"/>
    <w:p>
      <w:pPr>
        <w:pStyle w:val="Heading4"/>
      </w:pPr>
      <w:r>
        <w:t xml:space="preserve">Scope 2 Emissions (Energy Indirect Emissions)</w:t>
      </w:r>
    </w:p>
    <w:p>
      <w:pPr>
        <w:pStyle w:val="FirstParagraph"/>
      </w:pPr>
      <w:r>
        <w:t xml:space="preserve">Indirect emissions from the generation of purchased electricity, heat, or steam. For yfggfzdxvt, this includes the non-renewable portion of electricity used in the manufacturing process.</w:t>
      </w:r>
    </w:p>
    <w:p>
      <w:pPr>
        <w:numPr>
          <w:ilvl w:val="0"/>
          <w:numId w:val="1008"/>
        </w:numPr>
        <w:pStyle w:val="Compact"/>
      </w:pPr>
      <w:r>
        <w:t xml:space="preserve">Non-renewable electricity used: 3.75 kWh/unit</w:t>
      </w:r>
    </w:p>
    <w:p>
      <w:pPr>
        <w:numPr>
          <w:ilvl w:val="0"/>
          <w:numId w:val="1008"/>
        </w:numPr>
        <w:pStyle w:val="Compact"/>
      </w:pPr>
      <w:r>
        <w:t xml:space="preserve">China grid emission factor: 0.6 kg CO2e/kWh</w:t>
      </w:r>
    </w:p>
    <w:p>
      <w:pPr>
        <w:numPr>
          <w:ilvl w:val="0"/>
          <w:numId w:val="1008"/>
        </w:numPr>
        <w:pStyle w:val="Compact"/>
      </w:pPr>
      <w:r>
        <w:t xml:space="preserve">Calculation: 3.75 kWh/unit * 0.6 kg CO2e/kWh = 2.25 kg CO2e/unit</w:t>
      </w:r>
    </w:p>
    <w:p>
      <w:pPr>
        <w:pStyle w:val="FirstParagraph"/>
      </w:pPr>
      <w:r>
        <w:rPr>
          <w:bCs/>
          <w:b/>
        </w:rPr>
        <w:t xml:space="preserve">Total Scope 2 Emissions: 2.25 kg CO2e/unit</w:t>
      </w:r>
    </w:p>
    <w:bookmarkEnd w:id="39"/>
    <w:bookmarkStart w:id="40" w:name="Xc0e8d524e8c55442a875a6363c71b09ba079b79"/>
    <w:p>
      <w:pPr>
        <w:pStyle w:val="Heading4"/>
      </w:pPr>
      <w:r>
        <w:t xml:space="preserve">Scope 3 Emissions (Other Indirect Emissions)</w:t>
      </w:r>
    </w:p>
    <w:p>
      <w:pPr>
        <w:pStyle w:val="FirstParagraph"/>
      </w:pPr>
      <w:r>
        <w:t xml:space="preserve">All other indirect emissions that occur in the value chain, both upstream and downstream. This forms the largest portion of the PCF for yfggfzdxvt.</w:t>
      </w:r>
    </w:p>
    <w:p>
      <w:pPr>
        <w:numPr>
          <w:ilvl w:val="0"/>
          <w:numId w:val="1009"/>
        </w:numPr>
        <w:pStyle w:val="Compact"/>
      </w:pPr>
      <w:r>
        <w:rPr>
          <w:bCs/>
          <w:b/>
        </w:rPr>
        <w:t xml:space="preserve">Upstream Emissions:</w:t>
      </w:r>
    </w:p>
    <w:p>
      <w:pPr>
        <w:numPr>
          <w:ilvl w:val="1"/>
          <w:numId w:val="1010"/>
        </w:numPr>
        <w:pStyle w:val="Compact"/>
      </w:pPr>
      <w:r>
        <w:t xml:space="preserve">Materials: 9.45 kg CO2e/unit</w:t>
      </w:r>
    </w:p>
    <w:p>
      <w:pPr>
        <w:numPr>
          <w:ilvl w:val="1"/>
          <w:numId w:val="1010"/>
        </w:numPr>
        <w:pStyle w:val="Compact"/>
      </w:pPr>
      <w:r>
        <w:t xml:space="preserve">Transport (International Sea Freight): 0.15 kg CO2e/unit</w:t>
      </w:r>
    </w:p>
    <w:p>
      <w:pPr>
        <w:numPr>
          <w:ilvl w:val="1"/>
          <w:numId w:val="1010"/>
        </w:numPr>
        <w:pStyle w:val="Compact"/>
      </w:pPr>
      <w:r>
        <w:t xml:space="preserve">Transport (European Road Freight): 0.05 kg CO2e/unit</w:t>
      </w:r>
    </w:p>
    <w:p>
      <w:pPr>
        <w:numPr>
          <w:ilvl w:val="1"/>
          <w:numId w:val="1010"/>
        </w:numPr>
        <w:pStyle w:val="Compact"/>
      </w:pPr>
      <w:r>
        <w:rPr>
          <w:bCs/>
          <w:b/>
        </w:rPr>
        <w:t xml:space="preserve">Subtotal Upstream: 9.65 kg CO2e/unit</w:t>
      </w:r>
    </w:p>
    <w:p>
      <w:pPr>
        <w:numPr>
          <w:ilvl w:val="0"/>
          <w:numId w:val="1009"/>
        </w:numPr>
        <w:pStyle w:val="Compact"/>
      </w:pPr>
      <w:r>
        <w:rPr>
          <w:bCs/>
          <w:b/>
        </w:rPr>
        <w:t xml:space="preserve">Downstream Emissions:</w:t>
      </w:r>
    </w:p>
    <w:p>
      <w:pPr>
        <w:numPr>
          <w:ilvl w:val="1"/>
          <w:numId w:val="1011"/>
        </w:numPr>
        <w:pStyle w:val="Compact"/>
      </w:pPr>
      <w:r>
        <w:t xml:space="preserve">Transport (Last-Mile Delivery): 0.01 kg CO2e/unit</w:t>
      </w:r>
    </w:p>
    <w:p>
      <w:pPr>
        <w:numPr>
          <w:ilvl w:val="1"/>
          <w:numId w:val="1011"/>
        </w:numPr>
        <w:pStyle w:val="Compact"/>
      </w:pPr>
      <w:r>
        <w:t xml:space="preserve">Use Phase Energy Consumption: 15.00 kg CO2e/unit</w:t>
      </w:r>
    </w:p>
    <w:p>
      <w:pPr>
        <w:numPr>
          <w:ilvl w:val="1"/>
          <w:numId w:val="1011"/>
        </w:numPr>
        <w:pStyle w:val="Compact"/>
      </w:pPr>
      <w:r>
        <w:t xml:space="preserve">End-of-Life (Waste Treatment): 0.40 kg CO2e/unit</w:t>
      </w:r>
    </w:p>
    <w:p>
      <w:pPr>
        <w:numPr>
          <w:ilvl w:val="1"/>
          <w:numId w:val="1011"/>
        </w:numPr>
        <w:pStyle w:val="Compact"/>
      </w:pPr>
      <w:r>
        <w:t xml:space="preserve">End-of-Life (Recycling Benefits): -0.30 kg CO2e/unit</w:t>
      </w:r>
    </w:p>
    <w:p>
      <w:pPr>
        <w:numPr>
          <w:ilvl w:val="1"/>
          <w:numId w:val="1011"/>
        </w:numPr>
        <w:pStyle w:val="Compact"/>
      </w:pPr>
      <w:r>
        <w:rPr>
          <w:bCs/>
          <w:b/>
        </w:rPr>
        <w:t xml:space="preserve">Subtotal Downstream: 15.11 kg CO2e/unit</w:t>
      </w:r>
    </w:p>
    <w:p>
      <w:pPr>
        <w:pStyle w:val="FirstParagraph"/>
      </w:pPr>
      <w:r>
        <w:rPr>
          <w:bCs/>
          <w:b/>
        </w:rPr>
        <w:t xml:space="preserve">Total Scope 3 Emissions: 24.76 kg CO2e/unit</w:t>
      </w:r>
    </w:p>
    <w:p>
      <w:pPr>
        <w:pStyle w:val="BodyText"/>
      </w:pPr>
      <w:r>
        <w:t xml:space="preserve">The Scope 3 emissions account for approximately 91.67% of the total PCF. While this is slightly below the 95% target, it represents substantial coverage of the value chain. Further detailed primary data collection, especially for minor components or specific manufacturing processes, could help bridge this gap and achieve full 95% compliance.</w:t>
      </w:r>
    </w:p>
    <w:bookmarkEnd w:id="40"/>
    <w:bookmarkEnd w:id="41"/>
    <w:bookmarkStart w:id="42" w:name="application-of-2026-lsr-standard"/>
    <w:p>
      <w:pPr>
        <w:pStyle w:val="Heading3"/>
      </w:pPr>
      <w:r>
        <w:t xml:space="preserve">3.3. Application of 2026 LSR Standard</w:t>
      </w:r>
    </w:p>
    <w:p>
      <w:pPr>
        <w:pStyle w:val="FirstParagraph"/>
      </w:pPr>
      <w:r>
        <w:t xml:space="preserve">The GHG Protocol\'s 2026 Land Sector and Removals (LSR) Standard is acknowledged and applied in principle. This standard provides guidance on accounting for GHG emissions and removals from land use, land-use change, and forestry. In this analysis, no direct land-use change emissions or significant carbon removals (e.g., through bio-based materials with certified carbon sequestration) were explicitly identified or provided within the input parameters. Therefore, the LSR application here is primarily foundational, ensuring that if such data were available, it would be integrated according to the latest guidance. The \'Packaging Cardboard\' material (M4) could, in a more granular analysis, be assessed for sustainable forestry practices and potential carbon removals if detailed source data were available.</w:t>
      </w:r>
    </w:p>
    <w:p>
      <w:r>
        <w:pict>
          <v:rect style="width:0;height:1.5pt" o:hralign="center" o:hrstd="t" o:hr="t"/>
        </w:pict>
      </w:r>
    </w:p>
    <w:bookmarkEnd w:id="42"/>
    <w:bookmarkEnd w:id="43"/>
    <w:bookmarkStart w:id="47" w:name="review-report-step-5"/>
    <w:p>
      <w:pPr>
        <w:pStyle w:val="Heading2"/>
      </w:pPr>
      <w:r>
        <w:t xml:space="preserve">4. Review &amp; Report (Step 5)</w:t>
      </w:r>
    </w:p>
    <w:bookmarkStart w:id="44" w:name="hotspot-analysis"/>
    <w:p>
      <w:pPr>
        <w:pStyle w:val="Heading3"/>
      </w:pPr>
      <w:r>
        <w:t xml:space="preserve">4.1. Hotspot Analysis</w:t>
      </w:r>
    </w:p>
    <w:p>
      <w:pPr>
        <w:pStyle w:val="FirstParagraph"/>
      </w:pPr>
      <w:r>
        <w:t xml:space="preserve">The analysis reveals the following major carbon hotspots for yfggfzdxvt:</w:t>
      </w:r>
    </w:p>
    <w:p>
      <w:pPr>
        <w:numPr>
          <w:ilvl w:val="0"/>
          <w:numId w:val="1012"/>
        </w:numPr>
        <w:pStyle w:val="Compact"/>
      </w:pPr>
      <w:r>
        <w:rPr>
          <w:bCs/>
          <w:b/>
        </w:rPr>
        <w:t xml:space="preserve">Use Phase (55.53%):</w:t>
      </w:r>
      <w:r>
        <w:t xml:space="preserve"> </w:t>
      </w:r>
      <w:r>
        <w:t xml:space="preserve">The energy consumption during the product\'s 5-year lifespan is the largest contributor to the overall footprint. This indicates a critical area for design improvements focused on energy efficiency.</w:t>
      </w:r>
    </w:p>
    <w:p>
      <w:pPr>
        <w:numPr>
          <w:ilvl w:val="0"/>
          <w:numId w:val="1012"/>
        </w:numPr>
        <w:pStyle w:val="Compact"/>
      </w:pPr>
      <w:r>
        <w:rPr>
          <w:bCs/>
          <w:b/>
        </w:rPr>
        <w:t xml:space="preserve">Materials (34.99%):</w:t>
      </w:r>
      <w:r>
        <w:t xml:space="preserve"> </w:t>
      </w:r>
      <w:r>
        <w:t xml:space="preserve">The production of raw materials, particularly the Aluminum Casing and Circuit Board, represents the second most significant impact.</w:t>
      </w:r>
    </w:p>
    <w:p>
      <w:pPr>
        <w:numPr>
          <w:ilvl w:val="0"/>
          <w:numId w:val="1012"/>
        </w:numPr>
        <w:pStyle w:val="Compact"/>
      </w:pPr>
      <w:r>
        <w:rPr>
          <w:bCs/>
          <w:b/>
        </w:rPr>
        <w:t xml:space="preserve">Manufacturing (8.33%):</w:t>
      </w:r>
      <w:r>
        <w:t xml:space="preserve"> </w:t>
      </w:r>
      <w:r>
        <w:t xml:space="preserve">While a portion of the manufacturing energy is renewable, the remaining non-renewable electricity consumption contributes notably to the Scope 2 footprint.</w:t>
      </w:r>
    </w:p>
    <w:p>
      <w:pPr>
        <w:numPr>
          <w:ilvl w:val="0"/>
          <w:numId w:val="1012"/>
        </w:numPr>
        <w:pStyle w:val="Compact"/>
      </w:pPr>
      <w:r>
        <w:rPr>
          <w:bCs/>
          <w:b/>
        </w:rPr>
        <w:t xml:space="preserve">End-of-Life (0.37%):</w:t>
      </w:r>
      <w:r>
        <w:t xml:space="preserve"> </w:t>
      </w:r>
      <w:r>
        <w:t xml:space="preserve">Despite circular programs and recyclability, the emissions from the non-recycled waste, even with recycling benefits, still contribute marginally.</w:t>
      </w:r>
    </w:p>
    <w:p>
      <w:pPr>
        <w:numPr>
          <w:ilvl w:val="0"/>
          <w:numId w:val="1012"/>
        </w:numPr>
        <w:pStyle w:val="Compact"/>
      </w:pPr>
      <w:r>
        <w:rPr>
          <w:bCs/>
          <w:b/>
        </w:rPr>
        <w:t xml:space="preserve">Transport (0.78%):</w:t>
      </w:r>
      <w:r>
        <w:t xml:space="preserve"> </w:t>
      </w:r>
      <w:r>
        <w:t xml:space="preserve">Transport emissions, while dispersed across international and local logistics, constitute a smaller percentage of the total.</w:t>
      </w:r>
    </w:p>
    <w:bookmarkEnd w:id="44"/>
    <w:bookmarkStart w:id="45" w:name="reliability-and-limitations"/>
    <w:p>
      <w:pPr>
        <w:pStyle w:val="Heading3"/>
      </w:pPr>
      <w:r>
        <w:t xml:space="preserve">4.2. Reliability and Limitations</w:t>
      </w:r>
    </w:p>
    <w:p>
      <w:pPr>
        <w:pStyle w:val="FirstParagraph"/>
      </w:pPr>
      <w:r>
        <w:t xml:space="preserve">The reliability of this PCF analysis is high due to the application of the GHG Protocol and the use of specified parameters for key lifecycle stages. However, certain limitations exist:</w:t>
      </w:r>
    </w:p>
    <w:p>
      <w:pPr>
        <w:numPr>
          <w:ilvl w:val="0"/>
          <w:numId w:val="1013"/>
        </w:numPr>
        <w:pStyle w:val="Compact"/>
      </w:pPr>
      <w:r>
        <w:t xml:space="preserve">**Data Interpretation:** Specific placeholder values for `xhizlurf`, `nqxrlugeyl`, `pklfxqgogu`, `uqexzokskt`, `yvdlzwvdns`, `urjdtlgndq`, `qjiuwnfmdq`, and `vjvoxgfnwf` were interpreted and assumed with reasonable numerical values for calculation. Actual values may differ and would lead to different results.</w:t>
      </w:r>
    </w:p>
    <w:p>
      <w:pPr>
        <w:numPr>
          <w:ilvl w:val="0"/>
          <w:numId w:val="1013"/>
        </w:numPr>
        <w:pStyle w:val="Compact"/>
      </w:pPr>
      <w:r>
        <w:t xml:space="preserve">**Generic Emission Factors:** Where specific emission factors were not provided within the BOM (e.g., for electricity grids, generic transport factors, and EoL scenarios), industry-average factors (e.g., Ecoinvent/DEFRA equivalents) were applied. Using primary, supplier-specific data would enhance accuracy.</w:t>
      </w:r>
    </w:p>
    <w:p>
      <w:pPr>
        <w:numPr>
          <w:ilvl w:val="0"/>
          <w:numId w:val="1013"/>
        </w:numPr>
        <w:pStyle w:val="Compact"/>
      </w:pPr>
      <w:r>
        <w:t xml:space="preserve">**Scope 1 Detail:** Detailed Scope 1 emissions for gykeznqopj\'s manufacturing operations were not provided, leading to an assumption of negligible direct emissions or their inclusion within other factors.</w:t>
      </w:r>
    </w:p>
    <w:p>
      <w:pPr>
        <w:numPr>
          <w:ilvl w:val="0"/>
          <w:numId w:val="1013"/>
        </w:numPr>
        <w:pStyle w:val="Compact"/>
      </w:pPr>
      <w:r>
        <w:t xml:space="preserve">**LSR Data:** While the LSR standard is acknowledged, the absence of specific land-use change data prevented a detailed quantification of land-based emissions or removals.</w:t>
      </w:r>
    </w:p>
    <w:bookmarkEnd w:id="45"/>
    <w:bookmarkStart w:id="46" w:name="recommendations-for-reduction"/>
    <w:p>
      <w:pPr>
        <w:pStyle w:val="Heading3"/>
      </w:pPr>
      <w:r>
        <w:t xml:space="preserve">4.3. Recommendations for Reduction</w:t>
      </w:r>
    </w:p>
    <w:p>
      <w:pPr>
        <w:numPr>
          <w:ilvl w:val="0"/>
          <w:numId w:val="1014"/>
        </w:numPr>
        <w:pStyle w:val="Compact"/>
      </w:pPr>
      <w:r>
        <w:t xml:space="preserve">**Optimize Use Phase Energy:** Prioritize product redesign for enhanced energy efficiency during operation. Explore lower-power components, longer-lasting batteries, or smart energy management features for yfggfzdxvt.</w:t>
      </w:r>
    </w:p>
    <w:p>
      <w:pPr>
        <w:numPr>
          <w:ilvl w:val="0"/>
          <w:numId w:val="1014"/>
        </w:numPr>
        <w:pStyle w:val="Compact"/>
      </w:pPr>
      <w:r>
        <w:t xml:space="preserve">**Material Selection:** Investigate lower-carbon alternatives for the Aluminum Casing and Circuit Board. Engage with suppliers to understand and reduce the embodied carbon of these high-impact components.</w:t>
      </w:r>
    </w:p>
    <w:p>
      <w:pPr>
        <w:numPr>
          <w:ilvl w:val="0"/>
          <w:numId w:val="1014"/>
        </w:numPr>
        <w:pStyle w:val="Compact"/>
      </w:pPr>
      <w:r>
        <w:t xml:space="preserve">**Increase Renewable Energy in Manufacturing:** Continue to expand renewable energy sourcing at manufacturing facilities to further reduce Scope 2 emissions, aiming for 100% renewable energy where feasible.</w:t>
      </w:r>
    </w:p>
    <w:p>
      <w:pPr>
        <w:numPr>
          <w:ilvl w:val="0"/>
          <w:numId w:val="1014"/>
        </w:numPr>
        <w:pStyle w:val="Compact"/>
      </w:pPr>
      <w:r>
        <w:t xml:space="preserve">**Enhance Circularity:** Explore ways to increase the recyclability percentage beyond 60% and strengthen take-back programs (`vjvoxgfnwf`) to maximize material recovery and minimize waste. Investigate product-as-a-service models or extended producer responsibility initiatives.</w:t>
      </w:r>
    </w:p>
    <w:p>
      <w:pPr>
        <w:numPr>
          <w:ilvl w:val="0"/>
          <w:numId w:val="1014"/>
        </w:numPr>
        <w:pStyle w:val="Compact"/>
      </w:pPr>
      <w:r>
        <w:t xml:space="preserve">**Supplier Engagement:** Collaborate with suppliers to obtain more granular, primary data on their emissions for materials and upstream processes, improving the accuracy of Scope 3 calculations and identifying further reduction opportunities.</w:t>
      </w:r>
    </w:p>
    <w:p>
      <w:r>
        <w:pict>
          <v:rect style="width:0;height:1.5pt" o:hralign="center" o:hrstd="t" o:hr="t"/>
        </w:pict>
      </w:r>
    </w:p>
    <w:bookmarkEnd w:id="46"/>
    <w:bookmarkEnd w:id="47"/>
    <w:bookmarkStart w:id="48" w:name="conclusion"/>
    <w:p>
      <w:pPr>
        <w:pStyle w:val="Heading2"/>
      </w:pPr>
      <w:r>
        <w:t xml:space="preserve">Conclusion</w:t>
      </w:r>
    </w:p>
    <w:p>
      <w:pPr>
        <w:pStyle w:val="FirstParagraph"/>
      </w:pPr>
      <w:r>
        <w:t xml:space="preserve">The Product Carbon Footprint of yfggfzdxvt is 27.01 kg CO2e per unit, with the use phase and material production being the primary contributors. By focusing on energy efficiency, sustainable material sourcing, and robust circular economy strategies, gykeznqopj can significantly reduce the environmental impact of yfggfzdxvt and align with global sustainability goals.</w:t>
      </w:r>
    </w:p>
    <w:p>
      <w:pPr>
        <w:pStyle w:val="BodyText"/>
      </w:pPr>
      <w:r>
        <w:t xml:space="preserve">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yfggfzdxvt</dc:title>
  <dc:creator/>
  <dc:description>Detailed Product Carbon Footprint (PCF) analysis report for product yfggfzdxvt, conducted by zgxvhmgedf for gykeznqopj, adhering to the GHG Protocol.</dc:description>
  <cp:keywords/>
  <dcterms:created xsi:type="dcterms:W3CDTF">2026-07-15T07:06:56Z</dcterms:created>
  <dcterms:modified xsi:type="dcterms:W3CDTF">2026-07-15T07:06:56Z</dcterms:modified>
</cp:coreProperties>
</file>

<file path=docProps/custom.xml><?xml version="1.0" encoding="utf-8"?>
<Properties xmlns="http://schemas.openxmlformats.org/officeDocument/2006/custom-properties" xmlns:vt="http://schemas.openxmlformats.org/officeDocument/2006/docPropsVTypes"/>
</file>