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yewlptgymq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yewlptgymq</w:t>
      </w:r>
    </w:p>
    <w:p>
      <w:pPr>
        <w:pStyle w:val="BodyText"/>
      </w:pPr>
      <w:r>
        <w:t xml:space="preserve">Company Name: hzrdrdvxjd</w:t>
      </w:r>
    </w:p>
    <w:p>
      <w:pPr>
        <w:pStyle w:val="BodyText"/>
      </w:pPr>
      <w:r>
        <w:t xml:space="preserve">Senior Sustainability Consultant: nudwhnzsmg</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environmental impacts may vary depending on real-world conditions and data availability. Specific values used for placeholder data are illustrative.</w:t>
      </w:r>
    </w:p>
    <w:bookmarkEnd w:id="20"/>
    <w:bookmarkStart w:id="45" w:name="Xdd38d080f785345a03916c454697ba409de760f"/>
    <w:p>
      <w:pPr>
        <w:pStyle w:val="Heading1"/>
      </w:pPr>
      <w:r>
        <w:t xml:space="preserve">Product Carbon Footprint Analysis: yewlptgymq</w:t>
      </w:r>
    </w:p>
    <w:p>
      <w:pPr>
        <w:pStyle w:val="FirstParagraph"/>
      </w:pPr>
      <w:r>
        <w:rPr>
          <w:bCs/>
          <w:b/>
        </w:rPr>
        <w:t xml:space="preserve">Generated Date:</w:t>
      </w:r>
      <w:r>
        <w:t xml:space="preserve"> </w:t>
      </w:r>
      <w:r>
        <w:t xml:space="preserve">May 26, 2026</w:t>
      </w:r>
    </w:p>
    <w:p>
      <w:pPr>
        <w:pStyle w:val="BodyText"/>
      </w:pPr>
      <w:r>
        <w:rPr>
          <w:bCs/>
          <w:b/>
        </w:rPr>
        <w:t xml:space="preserve">Senior Sustainability Consultant:</w:t>
      </w:r>
      <w:r>
        <w:t xml:space="preserve"> </w:t>
      </w:r>
      <w:r>
        <w:t xml:space="preserve">nudwhnzsmg</w:t>
      </w:r>
    </w:p>
    <w:p>
      <w:pPr>
        <w:pStyle w:val="BodyText"/>
      </w:pPr>
      <w:r>
        <w:rPr>
          <w:bCs/>
          <w:b/>
        </w:rPr>
        <w:t xml:space="preserve">Company:</w:t>
      </w:r>
      <w:r>
        <w:t xml:space="preserve"> </w:t>
      </w:r>
      <w:r>
        <w:t xml:space="preserve">hzrdrdvxjd</w: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yewlptgymq, manufactured by hzrdrdvxjd. The analysis adheres to the Greenhouse Gas (GHG) Protocol standards, including the latest 2026 updates for Scope 3 emissions and the Land Sector and Removals (LSR) Standard. The total carbon footprint of yewlptgymq has been calculated from a factory-gate system boundary, encompassing upstream material extraction and processing, manufacturing, transport, use-phase, and end-of-life scenarios. Key emission hotspots are identified, and recommendations for emission reduction are provided. This assessment aims to provide hzrdrdvxjd with actionable insights to enhance the sustainability performance of yewlptgymq.</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As Senior Sustainability Consultant nudwhnzsmg, I have conducted a comprehensive Product Carbon Footprint (PCF) analysis for yewlptgymq for the company hzrdrdvxjd. This assessment is critical for understanding the environmental impact of the product throughout its lifecycle and aligning with global sustainability objectives. The methodology strictly follows the GHG Protocol, ensuring a standardized and transparent approach to emission quantification. The focus includes compliance with the anticipated 2026 revisions, particularly regarding Scope 3 coverage and the Land Sector and Removals (LSR) Standard.</w:t>
      </w:r>
    </w:p>
    <w:bookmarkEnd w:id="22"/>
    <w:bookmarkStart w:id="26" w:name="methodology"/>
    <w:p>
      <w:pPr>
        <w:pStyle w:val="Heading2"/>
      </w:pPr>
      <w:r>
        <w:t xml:space="preserve">2. Methodology</w:t>
      </w:r>
    </w:p>
    <w:p>
      <w:pPr>
        <w:pStyle w:val="FirstParagraph"/>
      </w:pPr>
      <w:r>
        <w:t xml:space="preserve">The Product Carbon Footprint (PCF) analysis for yewlptgymq was performed following the five-step methodology prescribed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stages within the product\'s lifecycle that contribute to greenhouse gas emissions.</w:t>
      </w:r>
    </w:p>
    <w:p>
      <w:pPr>
        <w:numPr>
          <w:ilvl w:val="0"/>
          <w:numId w:val="1001"/>
        </w:numPr>
        <w:pStyle w:val="Compact"/>
      </w:pPr>
      <w:r>
        <w:rPr>
          <w:bCs/>
          <w:b/>
        </w:rPr>
        <w:t xml:space="preserve">Collect Data:</w:t>
      </w:r>
      <w:r>
        <w:t xml:space="preserve"> </w:t>
      </w:r>
      <w:r>
        <w:t xml:space="preserve">Gathering of primary and secondary data points for all identified activities and material flows.</w:t>
      </w:r>
    </w:p>
    <w:p>
      <w:pPr>
        <w:numPr>
          <w:ilvl w:val="0"/>
          <w:numId w:val="1001"/>
        </w:numPr>
        <w:pStyle w:val="Compact"/>
      </w:pPr>
      <w:r>
        <w:rPr>
          <w:bCs/>
          <w:b/>
        </w:rPr>
        <w:t xml:space="preserve">Calculate Emissions:</w:t>
      </w:r>
      <w:r>
        <w:t xml:space="preserve"> </w:t>
      </w:r>
      <w:r>
        <w:t xml:space="preserve">Quantification of greenhouse gas emissions by multiplying activity data by relevant emission factors (Activity × Emission Factor = CO2e).</w:t>
      </w:r>
    </w:p>
    <w:p>
      <w:pPr>
        <w:numPr>
          <w:ilvl w:val="0"/>
          <w:numId w:val="1001"/>
        </w:numPr>
        <w:pStyle w:val="Compact"/>
      </w:pPr>
      <w:r>
        <w:rPr>
          <w:bCs/>
          <w:b/>
        </w:rPr>
        <w:t xml:space="preserve">Review &amp; Report:</w:t>
      </w:r>
      <w:r>
        <w:t xml:space="preserve"> </w:t>
      </w:r>
      <w:r>
        <w:t xml:space="preserve">Analysis of results, identification of emission hotspots, assessment of data reliability, and formulation of reduction recommendations.</w:t>
      </w:r>
    </w:p>
    <w:bookmarkStart w:id="23" w:name="ghg-protocol-adherence"/>
    <w:p>
      <w:pPr>
        <w:pStyle w:val="Heading3"/>
      </w:pPr>
      <w:r>
        <w:t xml:space="preserve">GHG Protocol Adherence</w:t>
      </w:r>
    </w:p>
    <w:p>
      <w:pPr>
        <w:pStyle w:val="FirstParagraph"/>
      </w:pPr>
      <w:r>
        <w:t xml:space="preserve">Emissions are categorized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hzrdrdvxjd (e.g., on-site manufacturing processes directly owned).</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hzrdrdvxjd.</w:t>
      </w:r>
    </w:p>
    <w:p>
      <w:pPr>
        <w:numPr>
          <w:ilvl w:val="0"/>
          <w:numId w:val="1002"/>
        </w:numPr>
        <w:pStyle w:val="Compact"/>
      </w:pPr>
      <w:r>
        <w:rPr>
          <w:bCs/>
          <w:b/>
        </w:rPr>
        <w:t xml:space="preserve">Scope 3:</w:t>
      </w:r>
      <w:r>
        <w:t xml:space="preserve"> </w:t>
      </w:r>
      <w:r>
        <w:t xml:space="preserve">All other indirect GHG emissions occurring in the value chain of yewlptgymq, both upstream and downstream. This includes emissions from purchased goods and services, transportation, use of sold products, and end-of-life treatment.</w:t>
      </w:r>
    </w:p>
    <w:bookmarkEnd w:id="23"/>
    <w:bookmarkStart w:id="24" w:name="lsr-update"/>
    <w:p>
      <w:pPr>
        <w:pStyle w:val="Heading3"/>
      </w:pPr>
      <w:r>
        <w:t xml:space="preserve">2026 LSR Update</w:t>
      </w:r>
    </w:p>
    <w:p>
      <w:pPr>
        <w:pStyle w:val="FirstParagraph"/>
      </w:pPr>
      <w:r>
        <w:t xml:space="preserve">The Land Sector and Removals (LSR) Standard, effective January 1, 2027, has been considered. It provides accounting requirements and guidance for land emissions and CO₂ removals. While the "factory_gate" system boundary for yewlptgymq primarily focuses on manufacturing and logistics, potential land-use change impacts within the raw material supply chain (upstream Scope 3, Category 1) are acknowledged. For this report, direct land use change associated with raw material sourcing is assumed to be covered within the chosen material emission factors, but a dedicated, in-depth LSR assessment would require tracing specific agricultural or forestry inputs.</w:t>
      </w:r>
    </w:p>
    <w:bookmarkEnd w:id="24"/>
    <w:bookmarkStart w:id="25" w:name="scope-3-compliance-2026-requirements"/>
    <w:p>
      <w:pPr>
        <w:pStyle w:val="Heading3"/>
      </w:pPr>
      <w:r>
        <w:t xml:space="preserve">Scope 3 Compliance (2026 Requirements)</w:t>
      </w:r>
    </w:p>
    <w:p>
      <w:pPr>
        <w:pStyle w:val="FirstParagraph"/>
      </w:pPr>
      <w:r>
        <w:t xml:space="preserve">The analysis ensures at least 95% coverage for Scope 3 reporting, as per the anticipated 2026 GHG Protocol requirements. This prescriptive completeness requirement mandates accounting for the vast majority of relevant Scope 3 emissions to claim conformance. This report aims to move beyond "best-effort" estimates towards a more auditable system by transparently presenting data sources and calculations.</w:t>
      </w:r>
    </w:p>
    <w:bookmarkEnd w:id="25"/>
    <w:bookmarkEnd w:id="26"/>
    <w:bookmarkStart w:id="27" w:name="scope-definition"/>
    <w:p>
      <w:pPr>
        <w:pStyle w:val="Heading2"/>
      </w:pPr>
      <w:r>
        <w:t xml:space="preserve">3. Scope Definition</w:t>
      </w:r>
    </w:p>
    <w:p>
      <w:pPr>
        <w:numPr>
          <w:ilvl w:val="0"/>
          <w:numId w:val="1003"/>
        </w:numPr>
        <w:pStyle w:val="Compact"/>
      </w:pPr>
      <w:r>
        <w:rPr>
          <w:bCs/>
          <w:b/>
        </w:rPr>
        <w:t xml:space="preserve">Functional Unit:</w:t>
      </w:r>
      <w:r>
        <w:t xml:space="preserve"> </w:t>
      </w:r>
      <w:r>
        <w:t xml:space="preserve">1.0 unit of yewlptgymq.</w:t>
      </w:r>
    </w:p>
    <w:p>
      <w:pPr>
        <w:numPr>
          <w:ilvl w:val="0"/>
          <w:numId w:val="1003"/>
        </w:numPr>
        <w:pStyle w:val="Compact"/>
      </w:pPr>
      <w:r>
        <w:rPr>
          <w:bCs/>
          <w:b/>
        </w:rPr>
        <w:t xml:space="preserve">System Boundary:</w:t>
      </w:r>
      <w:r>
        <w:t xml:space="preserve"> </w:t>
      </w:r>
      <w:r>
        <w:t xml:space="preserve">Factory gate. This includes all processes from raw material acquisition, manufacturing, and assembly up to the point the finished product leaves the factory. Downstream stages such as transportation to customer, use phase, and end-of-life are also included to provide a comprehensive cradle-to-grave perspective for completeness, as required by a full PCF, even if the primary boundary is factory gate.</w:t>
      </w:r>
    </w:p>
    <w:p>
      <w:pPr>
        <w:numPr>
          <w:ilvl w:val="0"/>
          <w:numId w:val="1003"/>
        </w:numPr>
        <w:pStyle w:val="Compact"/>
      </w:pPr>
      <w:r>
        <w:rPr>
          <w:bCs/>
          <w:b/>
        </w:rPr>
        <w:t xml:space="preserve">Geographic Scope:</w:t>
      </w:r>
      <w:r>
        <w:t xml:space="preserve"> </w:t>
      </w:r>
      <w:r>
        <w:t xml:space="preserve">Final Production Country: China. Supply Chain Focus: Europe Focused (for downstream distribution and use phase energy mix).</w:t>
      </w:r>
    </w:p>
    <w:p>
      <w:pPr>
        <w:numPr>
          <w:ilvl w:val="0"/>
          <w:numId w:val="1003"/>
        </w:numPr>
        <w:pStyle w:val="Compact"/>
      </w:pPr>
      <w:r>
        <w:rPr>
          <w:bCs/>
          <w:b/>
        </w:rPr>
        <w:t xml:space="preserve">Accounting Standard:</w:t>
      </w:r>
      <w:r>
        <w:t xml:space="preserve"> </w:t>
      </w:r>
      <w:r>
        <w:t xml:space="preserve">GHG Protocol.</w:t>
      </w:r>
    </w:p>
    <w:p>
      <w:pPr>
        <w:numPr>
          <w:ilvl w:val="0"/>
          <w:numId w:val="1003"/>
        </w:numPr>
        <w:pStyle w:val="Compact"/>
      </w:pPr>
      <w:r>
        <w:rPr>
          <w:bCs/>
          <w:b/>
        </w:rPr>
        <w:t xml:space="preserve">Allocation:</w:t>
      </w:r>
      <w:r>
        <w:t xml:space="preserve"> </w:t>
      </w:r>
      <w:r>
        <w:t xml:space="preserve">Emissions are allocated directly to the functional unit based on mass and energy consumption. Co-product allocation has been applied where relevant, and end-of-life benefits (e.g., from recycling) are accounted for using a substitution method.</w:t>
      </w:r>
    </w:p>
    <w:p>
      <w:r>
        <w:pict>
          <v:rect style="width:0;height:1.5pt" o:hralign="center" o:hrstd="t" o:hr="t"/>
        </w:pict>
      </w:r>
    </w:p>
    <w:bookmarkEnd w:id="27"/>
    <w:bookmarkStart w:id="38" w:name="lifecycle-mapping-data-collection"/>
    <w:p>
      <w:pPr>
        <w:pStyle w:val="Heading2"/>
      </w:pPr>
      <w:r>
        <w:t xml:space="preserve">4. Lifecycle Mapping &amp; Data Collection</w:t>
      </w:r>
    </w:p>
    <w:p>
      <w:pPr>
        <w:pStyle w:val="FirstParagraph"/>
      </w:pPr>
      <w:r>
        <w:t xml:space="preserve">This section details the key material and energy inputs across the lifecycle stages of yewlptgymq, leveraging the provided parameters and applying illustrative industry-standard emission factors where specific numerical data was placeholder.</w:t>
      </w:r>
    </w:p>
    <w:bookmarkStart w:id="28" w:name="X03009c137a43313aa2402a234267084e196d2e6"/>
    <w:p>
      <w:pPr>
        <w:pStyle w:val="Heading3"/>
      </w:pPr>
      <w:r>
        <w:t xml:space="preserve">4.1. Detailed Bill of Materials (BOM) - Upstream Emissions (Scope 3, Category 1)</w:t>
      </w:r>
    </w:p>
    <w:p>
      <w:pPr>
        <w:pStyle w:val="FirstParagraph"/>
      </w:pPr>
      <w:r>
        <w:t xml:space="preserve">The following table presents the detailed Bill of Materials (BOM) for yewlptgymq. For illustrative purposes, specific quantities, units, and emission factors have been assigned to demonstrate the calculation method, as the provided \'ghhdrsid\' was a placeholder string. Emission factors are drawn from industry averages (e.g., Ecoinvent, DEFRA-equivalent sources) and reflect the material\'s cradle-to-gate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7.50</w:t>
            </w:r>
          </w:p>
        </w:tc>
        <w:tc>
          <w:tcPr/>
          <w:p>
            <w:pPr>
              <w:pStyle w:val="Compact"/>
              <w:jc w:val="left"/>
            </w:pPr>
            <w:r>
              <w:t xml:space="preserve">0.750</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0.150</w:t>
            </w:r>
          </w:p>
        </w:tc>
      </w:tr>
      <w:tr>
        <w:tc>
          <w:tcPr/>
          <w:p>
            <w:pPr>
              <w:pStyle w:val="Compact"/>
              <w:jc w:val="left"/>
            </w:pPr>
            <w:r>
              <w:t xml:space="preserve">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185.00</w:t>
            </w:r>
          </w:p>
        </w:tc>
        <w:tc>
          <w:tcPr/>
          <w:p>
            <w:pPr>
              <w:pStyle w:val="Compact"/>
              <w:jc w:val="left"/>
            </w:pPr>
            <w:r>
              <w:t xml:space="preserve">3.700</w:t>
            </w:r>
          </w:p>
        </w:tc>
      </w:tr>
      <w:tr>
        <w:tc>
          <w:tcPr/>
          <w:p>
            <w:pPr>
              <w:pStyle w:val="Compact"/>
              <w:jc w:val="left"/>
            </w:pPr>
            <w:r>
              <w:t xml:space="preserve">C-004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6.64</w:t>
            </w:r>
          </w:p>
        </w:tc>
        <w:tc>
          <w:tcPr/>
          <w:p>
            <w:pPr>
              <w:pStyle w:val="Compact"/>
              <w:jc w:val="left"/>
            </w:pPr>
            <w:r>
              <w:t xml:space="preserve">0.066</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0.300</w:t>
            </w:r>
          </w:p>
        </w:tc>
      </w:tr>
      <w:tr>
        <w:tc>
          <w:tcPr/>
          <w:p>
            <w:pPr>
              <w:pStyle w:val="Compact"/>
              <w:jc w:val="left"/>
            </w:pPr>
            <w:r>
              <w:t xml:space="preserve">PK-006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0.015</w:t>
            </w:r>
          </w:p>
        </w:tc>
      </w:tr>
      <w:tr>
        <w:tc>
          <w:tcPr/>
          <w:p>
            <w:pPr>
              <w:pStyle w:val="Compact"/>
              <w:jc w:val="left"/>
            </w:pPr>
            <w:r>
              <w:t xml:space="preserve">PK-007</w:t>
            </w:r>
          </w:p>
        </w:tc>
        <w:tc>
          <w:tcPr/>
          <w:p>
            <w:pPr>
              <w:pStyle w:val="Compact"/>
              <w:jc w:val="left"/>
            </w:pPr>
            <w:r>
              <w:t xml:space="preserve">LDPE Film</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0.010</w:t>
            </w:r>
          </w:p>
        </w:tc>
      </w:tr>
      <w:tr>
        <w:tc>
          <w:tcPr>
            <w:gridSpan w:val="7"/>
          </w:tcPr>
          <w:p>
            <w:pPr>
              <w:pStyle w:val="Compact"/>
              <w:jc w:val="right"/>
            </w:pPr>
            <w:r>
              <w:rPr>
                <w:bCs/>
                <w:b/>
              </w:rPr>
              <w:t xml:space="preserve">Total Material Emissions (Upstream)</w:t>
            </w:r>
          </w:p>
        </w:tc>
        <w:tc>
          <w:tcPr/>
          <w:p>
            <w:pPr>
              <w:pStyle w:val="Compact"/>
              <w:jc w:val="left"/>
            </w:pPr>
            <w:r>
              <w:rPr>
                <w:bCs/>
                <w:b/>
              </w:rPr>
              <w:t xml:space="preserve">5.991 kgCO2e</w:t>
            </w:r>
          </w:p>
        </w:tc>
      </w:tr>
    </w:tbl>
    <w:p>
      <w:pPr>
        <w:pStyle w:val="BodyText"/>
      </w:pPr>
      <w:r>
        <w:rPr>
          <w:iCs/>
          <w:i/>
        </w:rPr>
        <w:t xml:space="preserve">Note: Emission factors are illustrative and based on general industry data. "Total Carbon" is calculated as Qty * Emission Factor. For PCB, the emission factor is based on kg of PCB, converted from g-CO2eq/g.</w:t>
      </w:r>
    </w:p>
    <w:bookmarkEnd w:id="28"/>
    <w:bookmarkStart w:id="30" w:name="Xfc640105201d6d434609fec938f21fe9ab9fdb1"/>
    <w:p>
      <w:pPr>
        <w:pStyle w:val="Heading3"/>
      </w:pPr>
      <w:r>
        <w:t xml:space="preserve">4.2. Energy Inputs - Production Phase (Scope 1 &amp; 2)</w:t>
      </w:r>
    </w:p>
    <w:p>
      <w:pPr>
        <w:pStyle w:val="FirstParagraph"/>
      </w:pPr>
      <w:r>
        <w:t xml:space="preserve">The production of yewlptgymq takes place in China.</w:t>
      </w:r>
    </w:p>
    <w:p>
      <w:pPr>
        <w:numPr>
          <w:ilvl w:val="0"/>
          <w:numId w:val="1004"/>
        </w:numPr>
        <w:pStyle w:val="Compact"/>
      </w:pPr>
      <w:r>
        <w:rPr>
          <w:bCs/>
          <w:b/>
        </w:rPr>
        <w:t xml:space="preserve">Energy Intensity (kWh/unit):</w:t>
      </w:r>
      <w:r>
        <w:t xml:space="preserve"> </w:t>
      </w:r>
      <w:r>
        <w:t xml:space="preserve">2.5 kWh/unit (ivdgmlzoxd, illustrative).</w:t>
      </w:r>
    </w:p>
    <w:p>
      <w:pPr>
        <w:numPr>
          <w:ilvl w:val="0"/>
          <w:numId w:val="1004"/>
        </w:numPr>
        <w:pStyle w:val="Compact"/>
      </w:pPr>
      <w:r>
        <w:rPr>
          <w:bCs/>
          <w:b/>
        </w:rPr>
        <w:t xml:space="preserve">Renewable Energy Usage:</w:t>
      </w:r>
      <w:r>
        <w:t xml:space="preserve"> </w:t>
      </w:r>
      <w:r>
        <w:t xml:space="preserve">30% (squjppxpzd, illustrative).</w:t>
      </w:r>
    </w:p>
    <w:p>
      <w:pPr>
        <w:numPr>
          <w:ilvl w:val="0"/>
          <w:numId w:val="1004"/>
        </w:numPr>
        <w:pStyle w:val="Compact"/>
      </w:pPr>
      <w:r>
        <w:rPr>
          <w:bCs/>
          <w:b/>
        </w:rPr>
        <w:t xml:space="preserve">Grid Electricity Emission Factor (China):</w:t>
      </w:r>
      <w:r>
        <w:t xml:space="preserve"> </w:t>
      </w:r>
      <w:r>
        <w:t xml:space="preserve">0.58 kgCO2e/kWh (illustrative average from IEA/MEE data).</w:t>
      </w:r>
    </w:p>
    <w:bookmarkStart w:id="29" w:name="calculation"/>
    <w:p>
      <w:pPr>
        <w:pStyle w:val="Heading4"/>
      </w:pPr>
      <w:r>
        <w:t xml:space="preserve">Calculation:</w:t>
      </w:r>
    </w:p>
    <w:p>
      <w:pPr>
        <w:numPr>
          <w:ilvl w:val="0"/>
          <w:numId w:val="1005"/>
        </w:numPr>
        <w:pStyle w:val="Compact"/>
      </w:pPr>
      <w:r>
        <w:t xml:space="preserve">Total electricity demand: 2.5 kWh/unit</w:t>
      </w:r>
    </w:p>
    <w:p>
      <w:pPr>
        <w:numPr>
          <w:ilvl w:val="0"/>
          <w:numId w:val="1005"/>
        </w:numPr>
        <w:pStyle w:val="Compact"/>
      </w:pPr>
      <w:r>
        <w:t xml:space="preserve">Renewable electricity: 2.5 kWh/unit * 30% = 0.75 kWh/unit (0 kgCO2e/kWh for renewable)</w:t>
      </w:r>
    </w:p>
    <w:p>
      <w:pPr>
        <w:numPr>
          <w:ilvl w:val="0"/>
          <w:numId w:val="1005"/>
        </w:numPr>
        <w:pStyle w:val="Compact"/>
      </w:pPr>
      <w:r>
        <w:t xml:space="preserve">Non-renewable electricity: 2.5 kWh/unit * 70% = 1.75 kWh/unit</w:t>
      </w:r>
    </w:p>
    <w:p>
      <w:pPr>
        <w:numPr>
          <w:ilvl w:val="0"/>
          <w:numId w:val="1005"/>
        </w:numPr>
        <w:pStyle w:val="Compact"/>
      </w:pPr>
      <w:r>
        <w:t xml:space="preserve">Emissions from purchased electricity (Scope 2): 1.75 kWh/unit * 0.58 kgCO2e/kWh = 1.015 kgCO2e/unit</w:t>
      </w:r>
    </w:p>
    <w:p>
      <w:pPr>
        <w:numPr>
          <w:ilvl w:val="0"/>
          <w:numId w:val="1005"/>
        </w:numPr>
        <w:pStyle w:val="Compact"/>
      </w:pPr>
      <w:r>
        <w:t xml:space="preserve">Direct emissions (Scope 1): Assuming negligible direct fuel combustion on-site for the \'factory_gate\' boundary beyond what\'s embedded in electricity production, or covered by material processes. For illustrative purposes, we assume 0.05 kgCO2e/unit from minor on-site processes not covered by electricity.</w:t>
      </w:r>
    </w:p>
    <w:bookmarkEnd w:id="29"/>
    <w:bookmarkEnd w:id="30"/>
    <w:bookmarkStart w:id="33" w:name="Xdb2933b826b2cd906427a0c8eb3accf682f1a34"/>
    <w:p>
      <w:pPr>
        <w:pStyle w:val="Heading3"/>
      </w:pPr>
      <w:r>
        <w:t xml:space="preserve">4.3. Logistics Data - Upstream &amp; Downstream Transport (Scope 3, Category 4 &amp; 9)</w:t>
      </w:r>
    </w:p>
    <w:p>
      <w:pPr>
        <w:pStyle w:val="FirstParagraph"/>
      </w:pPr>
      <w:r>
        <w:t xml:space="preserve">Transportation plays a significant role in the overall PCF.</w:t>
      </w:r>
    </w:p>
    <w:p>
      <w:pPr>
        <w:numPr>
          <w:ilvl w:val="0"/>
          <w:numId w:val="1006"/>
        </w:numPr>
        <w:pStyle w:val="Compact"/>
      </w:pPr>
      <w:r>
        <w:rPr>
          <w:bCs/>
          <w:b/>
        </w:rPr>
        <w:t xml:space="preserve">Transport Mode (main leg):</w:t>
      </w:r>
      <w:r>
        <w:t xml:space="preserve"> </w:t>
      </w:r>
      <w:r>
        <w:t xml:space="preserve">Road Freight (Select Mode, illustrative).</w:t>
      </w:r>
    </w:p>
    <w:p>
      <w:pPr>
        <w:numPr>
          <w:ilvl w:val="0"/>
          <w:numId w:val="1006"/>
        </w:numPr>
        <w:pStyle w:val="Compact"/>
      </w:pPr>
      <w:r>
        <w:rPr>
          <w:bCs/>
          <w:b/>
        </w:rPr>
        <w:t xml:space="preserve">Transport Distance (main leg):</w:t>
      </w:r>
      <w:r>
        <w:t xml:space="preserve"> </w:t>
      </w:r>
      <w:r>
        <w:t xml:space="preserve">1500 km (fdrtplfmnr, illustrative, e.g., from port to regional warehouse in Europe).</w:t>
      </w:r>
    </w:p>
    <w:p>
      <w:pPr>
        <w:numPr>
          <w:ilvl w:val="0"/>
          <w:numId w:val="1006"/>
        </w:numPr>
        <w:pStyle w:val="Compact"/>
      </w:pPr>
      <w:r>
        <w:rPr>
          <w:bCs/>
          <w:b/>
        </w:rPr>
        <w:t xml:space="preserve">Last-Mile Delivery Channel:</w:t>
      </w:r>
      <w:r>
        <w:t xml:space="preserve"> </w:t>
      </w:r>
      <w:r>
        <w:t xml:space="preserve">Road Van Delivery (Delivery Type, illustrative).</w:t>
      </w:r>
    </w:p>
    <w:p>
      <w:pPr>
        <w:numPr>
          <w:ilvl w:val="0"/>
          <w:numId w:val="1006"/>
        </w:numPr>
        <w:pStyle w:val="Compact"/>
      </w:pPr>
      <w:r>
        <w:rPr>
          <w:bCs/>
          <w:b/>
        </w:rPr>
        <w:t xml:space="preserve">Last-Mile Delivery Distance:</w:t>
      </w:r>
      <w:r>
        <w:t xml:space="preserve"> </w:t>
      </w:r>
      <w:r>
        <w:t xml:space="preserve">50 km (illustrative per unit).</w:t>
      </w:r>
    </w:p>
    <w:bookmarkStart w:id="31" w:name="emission-factors-illustrative"/>
    <w:p>
      <w:pPr>
        <w:pStyle w:val="Heading4"/>
      </w:pPr>
      <w:r>
        <w:t xml:space="preserve">Emission Factors (Illustrative):</w:t>
      </w:r>
    </w:p>
    <w:p>
      <w:pPr>
        <w:numPr>
          <w:ilvl w:val="0"/>
          <w:numId w:val="1007"/>
        </w:numPr>
        <w:pStyle w:val="Compact"/>
      </w:pPr>
      <w:r>
        <w:t xml:space="preserve">Road Freight (heavy duty truck, per unit-km): 0.00005 kgCO2e/unit-km (derived from approx. 0.1 kgCO2e/tkm and estimated product weight).</w:t>
      </w:r>
    </w:p>
    <w:p>
      <w:pPr>
        <w:numPr>
          <w:ilvl w:val="0"/>
          <w:numId w:val="1007"/>
        </w:numPr>
        <w:pStyle w:val="Compact"/>
      </w:pPr>
      <w:r>
        <w:t xml:space="preserve">Road Van Delivery (per unit-km): 0.0005 kgCO2e/unit-km.</w:t>
      </w:r>
    </w:p>
    <w:bookmarkEnd w:id="31"/>
    <w:bookmarkStart w:id="32" w:name="calculation-1"/>
    <w:p>
      <w:pPr>
        <w:pStyle w:val="Heading4"/>
      </w:pPr>
      <w:r>
        <w:t xml:space="preserve">Calculation:</w:t>
      </w:r>
    </w:p>
    <w:p>
      <w:pPr>
        <w:numPr>
          <w:ilvl w:val="0"/>
          <w:numId w:val="1008"/>
        </w:numPr>
        <w:pStyle w:val="Compact"/>
      </w:pPr>
      <w:r>
        <w:t xml:space="preserve">Upstream/Main-leg Transport (Scope 3, Category 4): 1500 km * 0.00005 kgCO2e/unit-km = 0.075 kgCO2e/unit</w:t>
      </w:r>
    </w:p>
    <w:p>
      <w:pPr>
        <w:numPr>
          <w:ilvl w:val="0"/>
          <w:numId w:val="1008"/>
        </w:numPr>
        <w:pStyle w:val="Compact"/>
      </w:pPr>
      <w:r>
        <w:t xml:space="preserve">Last-Mile Delivery (Scope 3, Category 9 - for products sold): 50 km * 0.0005 kgCO2e/unit-km = 0.025 kgCO2e/unit</w:t>
      </w:r>
    </w:p>
    <w:bookmarkEnd w:id="32"/>
    <w:bookmarkEnd w:id="33"/>
    <w:bookmarkStart w:id="35" w:name="use-phase-data-scope-3-category-11"/>
    <w:p>
      <w:pPr>
        <w:pStyle w:val="Heading3"/>
      </w:pPr>
      <w:r>
        <w:t xml:space="preserve">4.4. Use Phase Data (Scope 3, Category 11)</w:t>
      </w:r>
    </w:p>
    <w:p>
      <w:pPr>
        <w:pStyle w:val="FirstParagraph"/>
      </w:pPr>
      <w:r>
        <w:t xml:space="preserve">The energy consumption during the product\'s use phase is a crucial downstream emission source.</w:t>
      </w:r>
    </w:p>
    <w:p>
      <w:pPr>
        <w:numPr>
          <w:ilvl w:val="0"/>
          <w:numId w:val="1009"/>
        </w:numPr>
        <w:pStyle w:val="Compact"/>
      </w:pPr>
      <w:r>
        <w:rPr>
          <w:bCs/>
          <w:b/>
        </w:rPr>
        <w:t xml:space="preserve">Product Lifespan:</w:t>
      </w:r>
      <w:r>
        <w:t xml:space="preserve"> </w:t>
      </w:r>
      <w:r>
        <w:t xml:space="preserve">3 years (wxqromdtqh, illustrative).</w:t>
      </w:r>
    </w:p>
    <w:p>
      <w:pPr>
        <w:numPr>
          <w:ilvl w:val="0"/>
          <w:numId w:val="1009"/>
        </w:numPr>
        <w:pStyle w:val="Compact"/>
      </w:pPr>
      <w:r>
        <w:rPr>
          <w:bCs/>
          <w:b/>
        </w:rPr>
        <w:t xml:space="preserve">Energy Consumption in Use:</w:t>
      </w:r>
      <w:r>
        <w:t xml:space="preserve"> </w:t>
      </w:r>
      <w:r>
        <w:t xml:space="preserve">5 kWh/year (mpljmurxdv, illustrative).</w:t>
      </w:r>
    </w:p>
    <w:p>
      <w:pPr>
        <w:numPr>
          <w:ilvl w:val="0"/>
          <w:numId w:val="1009"/>
        </w:numPr>
        <w:pStyle w:val="Compact"/>
      </w:pPr>
      <w:r>
        <w:rPr>
          <w:bCs/>
          <w:b/>
        </w:rPr>
        <w:t xml:space="preserve">Electricity Grid Emission Factor (Europe Mix for use phase):</w:t>
      </w:r>
      <w:r>
        <w:t xml:space="preserve"> </w:t>
      </w:r>
      <w:r>
        <w:t xml:space="preserve">0.25 kgCO2e/kWh (illustrative average for European use).</w:t>
      </w:r>
    </w:p>
    <w:bookmarkStart w:id="34" w:name="calculation-2"/>
    <w:p>
      <w:pPr>
        <w:pStyle w:val="Heading4"/>
      </w:pPr>
      <w:r>
        <w:t xml:space="preserve">Calculation:</w:t>
      </w:r>
    </w:p>
    <w:p>
      <w:pPr>
        <w:numPr>
          <w:ilvl w:val="0"/>
          <w:numId w:val="1010"/>
        </w:numPr>
        <w:pStyle w:val="Compact"/>
      </w:pPr>
      <w:r>
        <w:t xml:space="preserve">Total energy consumption over lifespan: 5 kWh/year * 3 years = 15 kWh/unit</w:t>
      </w:r>
    </w:p>
    <w:p>
      <w:pPr>
        <w:numPr>
          <w:ilvl w:val="0"/>
          <w:numId w:val="1010"/>
        </w:numPr>
        <w:pStyle w:val="Compact"/>
      </w:pPr>
      <w:r>
        <w:t xml:space="preserve">Use phase emissions (Scope 3, Category 11): 15 kWh/unit * 0.25 kgCO2e/kWh = 3.750 kgCO2e/unit</w:t>
      </w:r>
    </w:p>
    <w:bookmarkEnd w:id="34"/>
    <w:bookmarkEnd w:id="35"/>
    <w:bookmarkStart w:id="37" w:name="X3261202975bfccb1283f2bd5fabef2dfdbe9c90"/>
    <w:p>
      <w:pPr>
        <w:pStyle w:val="Heading3"/>
      </w:pPr>
      <w:r>
        <w:t xml:space="preserve">4.5. End-of-Life (EoL) Scenarios (Scope 3, Category 12)</w:t>
      </w:r>
    </w:p>
    <w:p>
      <w:pPr>
        <w:pStyle w:val="FirstParagraph"/>
      </w:pPr>
      <w:r>
        <w:t xml:space="preserve">Circular economy impacts are incorporated into the EoL assessment.</w:t>
      </w:r>
    </w:p>
    <w:p>
      <w:pPr>
        <w:numPr>
          <w:ilvl w:val="0"/>
          <w:numId w:val="1011"/>
        </w:numPr>
        <w:pStyle w:val="Compact"/>
      </w:pPr>
      <w:r>
        <w:rPr>
          <w:bCs/>
          <w:b/>
        </w:rPr>
        <w:t xml:space="preserve">Recyclability Percentage:</w:t>
      </w:r>
      <w:r>
        <w:t xml:space="preserve"> </w:t>
      </w:r>
      <w:r>
        <w:t xml:space="preserve">70% (vsmvytwtyi, illustrative).</w:t>
      </w:r>
    </w:p>
    <w:p>
      <w:pPr>
        <w:numPr>
          <w:ilvl w:val="0"/>
          <w:numId w:val="1011"/>
        </w:numPr>
        <w:pStyle w:val="Compact"/>
      </w:pPr>
      <w:r>
        <w:rPr>
          <w:bCs/>
          <w:b/>
        </w:rPr>
        <w:t xml:space="preserve">Circular/Take-back Programs:</w:t>
      </w:r>
      <w:r>
        <w:t xml:space="preserve"> </w:t>
      </w:r>
      <w:r>
        <w:t xml:space="preserve">Implemented (dnvxgxpdjz).</w:t>
      </w:r>
    </w:p>
    <w:bookmarkStart w:id="36" w:name="calculation-3"/>
    <w:p>
      <w:pPr>
        <w:pStyle w:val="Heading4"/>
      </w:pPr>
      <w:r>
        <w:t xml:space="preserve">Calculation:</w:t>
      </w:r>
    </w:p>
    <w:p>
      <w:pPr>
        <w:pStyle w:val="FirstParagraph"/>
      </w:pPr>
      <w:r>
        <w:t xml:space="preserve">For the 70% recyclable portion, an avoided burden approach is applied, assuming a 50% reduction in the emissions associated with producing virgin materials for that portion. For the remaining 30% that is not recycled, end-of-life emissions are assumed to be negligible for electronic waste or accounted for as part of the initial material impact without further processing emissions.</w:t>
      </w:r>
    </w:p>
    <w:p>
      <w:pPr>
        <w:numPr>
          <w:ilvl w:val="0"/>
          <w:numId w:val="1012"/>
        </w:numPr>
        <w:pStyle w:val="Compact"/>
      </w:pPr>
      <w:r>
        <w:t xml:space="preserve">Total material emissions from BOM: 5.991 kgCO2e</w:t>
      </w:r>
    </w:p>
    <w:p>
      <w:pPr>
        <w:numPr>
          <w:ilvl w:val="0"/>
          <w:numId w:val="1012"/>
        </w:numPr>
        <w:pStyle w:val="Compact"/>
      </w:pPr>
      <w:r>
        <w:t xml:space="preserve">Emissions from recyclable portion if not recycled: 5.991 kgCO2e * 70% = 4.194 kgCO2e</w:t>
      </w:r>
    </w:p>
    <w:p>
      <w:pPr>
        <w:numPr>
          <w:ilvl w:val="0"/>
          <w:numId w:val="1012"/>
        </w:numPr>
        <w:pStyle w:val="Compact"/>
      </w:pPr>
      <w:r>
        <w:t xml:space="preserve">Avoided emissions due to recycling (50% of virgin impact assumed): -4.194 kgCO2e * 50% = -2.097 kgCO2e</w:t>
      </w:r>
    </w:p>
    <w:p>
      <w:pPr>
        <w:numPr>
          <w:ilvl w:val="0"/>
          <w:numId w:val="1012"/>
        </w:numPr>
        <w:pStyle w:val="Compact"/>
      </w:pPr>
      <w:r>
        <w:t xml:space="preserve">Net End-of-Life Emissions (Scope 3, Category 12): -2.097 kgCO2e/unit</w:t>
      </w:r>
    </w:p>
    <w:p>
      <w:r>
        <w:pict>
          <v:rect style="width:0;height:1.5pt" o:hralign="center" o:hrstd="t" o:hr="t"/>
        </w:pict>
      </w:r>
    </w:p>
    <w:bookmarkEnd w:id="36"/>
    <w:bookmarkEnd w:id="37"/>
    <w:bookmarkEnd w:id="38"/>
    <w:bookmarkStart w:id="41" w:name="X439a6e6dcb43c636bf515ffaf3f59bce0bd6490"/>
    <w:p>
      <w:pPr>
        <w:pStyle w:val="Heading2"/>
      </w:pPr>
      <w:r>
        <w:t xml:space="preserve">5. Emission Calculation (Activity * Emission Factor = CO2e)</w:t>
      </w:r>
    </w:p>
    <w:p>
      <w:pPr>
        <w:pStyle w:val="FirstParagraph"/>
      </w:pPr>
      <w:r>
        <w:t xml:space="preserve">Based on the data collected and the assigned emission factors, the Product Carbon Footprint for one functional unit of yewlptgymq is calculated and categorized according to the GHG Protocol.</w:t>
      </w:r>
    </w:p>
    <w:bookmarkStart w:id="39" w:name="summary-of-emissions-by-scope"/>
    <w:p>
      <w:pPr>
        <w:pStyle w:val="Heading3"/>
      </w:pPr>
      <w:r>
        <w:t xml:space="preserve">5.1.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On-site combustion (e.g., minor processes)</w:t>
            </w:r>
          </w:p>
        </w:tc>
        <w:tc>
          <w:tcPr/>
          <w:p>
            <w:pPr>
              <w:pStyle w:val="Compact"/>
              <w:jc w:val="left"/>
            </w:pPr>
            <w:r>
              <w:t xml:space="preserve">0.050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Electricity consumed in production (China grid mix)</w:t>
            </w:r>
          </w:p>
        </w:tc>
        <w:tc>
          <w:tcPr/>
          <w:p>
            <w:pPr>
              <w:pStyle w:val="Compact"/>
              <w:jc w:val="left"/>
            </w:pPr>
            <w:r>
              <w:t xml:space="preserve">1.015</w:t>
            </w:r>
          </w:p>
        </w:tc>
      </w:tr>
      <w:tr>
        <w:tc>
          <w:tcPr>
            <w:vMerge w:val="restart"/>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Raw materials and components (from BOM)</w:t>
            </w:r>
          </w:p>
        </w:tc>
        <w:tc>
          <w:tcPr/>
          <w:p>
            <w:pPr>
              <w:pStyle w:val="Compact"/>
              <w:jc w:val="left"/>
            </w:pPr>
            <w:r>
              <w:t xml:space="preserve">5.991</w:t>
            </w:r>
          </w:p>
        </w:tc>
      </w:tr>
      <w:tr>
        <w:tc>
          <w:tcPr>
            <w:gridSpan w:val="1"/>
            <w:vMerge w:val="continue"/>
          </w:tcPr>
          <w:p>
            <w:pPr/>
          </w:p>
        </w:tc>
        <w:tc>
          <w:tcPr/>
          <w:p>
            <w:pPr>
              <w:pStyle w:val="Compact"/>
              <w:jc w:val="left"/>
            </w:pPr>
            <w:r>
              <w:t xml:space="preserve">Category 4: Upstream Transportation &amp; Distribution</w:t>
            </w:r>
          </w:p>
        </w:tc>
        <w:tc>
          <w:tcPr/>
          <w:p>
            <w:pPr>
              <w:pStyle w:val="Compact"/>
              <w:jc w:val="left"/>
            </w:pPr>
            <w:r>
              <w:t xml:space="preserve">Main-leg transport (e.g., raw materials to factory, factory to regional warehouse)</w:t>
            </w:r>
          </w:p>
        </w:tc>
        <w:tc>
          <w:tcPr/>
          <w:p>
            <w:pPr>
              <w:pStyle w:val="Compact"/>
              <w:jc w:val="left"/>
            </w:pPr>
            <w:r>
              <w:t xml:space="preserve">0.075</w:t>
            </w:r>
          </w:p>
        </w:tc>
      </w:tr>
      <w:tr>
        <w:tc>
          <w:tcPr>
            <w:gridSpan w:val="1"/>
            <w:vMerge w:val="continue"/>
          </w:tcPr>
          <w:p>
            <w:pPr/>
          </w:p>
        </w:tc>
        <w:tc>
          <w:tcPr/>
          <w:p>
            <w:pPr>
              <w:pStyle w:val="Compact"/>
              <w:jc w:val="left"/>
            </w:pPr>
            <w:r>
              <w:t xml:space="preserve">Category 9: Downstream Transportation &amp; Distribution</w:t>
            </w:r>
          </w:p>
        </w:tc>
        <w:tc>
          <w:tcPr/>
          <w:p>
            <w:pPr>
              <w:pStyle w:val="Compact"/>
              <w:jc w:val="left"/>
            </w:pPr>
            <w:r>
              <w:t xml:space="preserve">Last-mile delivery to consumer</w:t>
            </w:r>
          </w:p>
        </w:tc>
        <w:tc>
          <w:tcPr/>
          <w:p>
            <w:pPr>
              <w:pStyle w:val="Compact"/>
              <w:jc w:val="left"/>
            </w:pPr>
            <w:r>
              <w:t xml:space="preserve">0.025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Energy consumption during product lifespan</w:t>
            </w:r>
          </w:p>
        </w:tc>
        <w:tc>
          <w:tcPr/>
          <w:p>
            <w:pPr>
              <w:pStyle w:val="Compact"/>
              <w:jc w:val="left"/>
            </w:pPr>
            <w:r>
              <w:t xml:space="preserve">3.750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Recycling benefits / net emissions</w:t>
            </w:r>
          </w:p>
        </w:tc>
        <w:tc>
          <w:tcPr/>
          <w:p>
            <w:pPr>
              <w:pStyle w:val="Compact"/>
              <w:jc w:val="left"/>
            </w:pPr>
            <w:r>
              <w:t xml:space="preserve">-2.097</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8.809 kgCO2e/unit</w:t>
            </w:r>
          </w:p>
        </w:tc>
      </w:tr>
    </w:tbl>
    <w:bookmarkEnd w:id="39"/>
    <w:bookmarkStart w:id="40" w:name="X075ef7b8333430f8f31767ceb96ec5a291ea2fc"/>
    <w:p>
      <w:pPr>
        <w:pStyle w:val="Heading3"/>
      </w:pPr>
      <w:r>
        <w:t xml:space="preserve">5.2. Breakdown by Lifecycle Stage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Associated Scopes</w:t>
            </w:r>
          </w:p>
        </w:tc>
        <w:tc>
          <w:tcPr/>
          <w:p>
            <w:pPr>
              <w:pStyle w:val="Compact"/>
              <w:jc w:val="left"/>
            </w:pPr>
            <w:r>
              <w:t xml:space="preserve">Emissions (kgCO2e/unit)</w:t>
            </w:r>
          </w:p>
        </w:tc>
      </w:tr>
      <w:tr>
        <w:tc>
          <w:tcPr/>
          <w:p>
            <w:pPr>
              <w:pStyle w:val="Compact"/>
              <w:jc w:val="left"/>
            </w:pPr>
            <w:r>
              <w:t xml:space="preserve">Materials &amp; Components (Upstream)</w:t>
            </w:r>
          </w:p>
        </w:tc>
        <w:tc>
          <w:tcPr/>
          <w:p>
            <w:pPr>
              <w:pStyle w:val="Compact"/>
              <w:jc w:val="left"/>
            </w:pPr>
            <w:r>
              <w:t xml:space="preserve">Scope 3 (Category 1)</w:t>
            </w:r>
          </w:p>
        </w:tc>
        <w:tc>
          <w:tcPr/>
          <w:p>
            <w:pPr>
              <w:pStyle w:val="Compact"/>
              <w:jc w:val="left"/>
            </w:pPr>
            <w:r>
              <w:t xml:space="preserve">5.991</w:t>
            </w:r>
          </w:p>
        </w:tc>
      </w:tr>
      <w:tr>
        <w:tc>
          <w:tcPr/>
          <w:p>
            <w:pPr>
              <w:pStyle w:val="Compact"/>
              <w:jc w:val="left"/>
            </w:pPr>
            <w:r>
              <w:t xml:space="preserve">Production (Manufacturing)</w:t>
            </w:r>
          </w:p>
        </w:tc>
        <w:tc>
          <w:tcPr/>
          <w:p>
            <w:pPr>
              <w:pStyle w:val="Compact"/>
              <w:jc w:val="left"/>
            </w:pPr>
            <w:r>
              <w:t xml:space="preserve">Scope 1, Scope 2</w:t>
            </w:r>
          </w:p>
        </w:tc>
        <w:tc>
          <w:tcPr/>
          <w:p>
            <w:pPr>
              <w:pStyle w:val="Compact"/>
              <w:jc w:val="left"/>
            </w:pPr>
            <w:r>
              <w:t xml:space="preserve">1.065</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0.100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3.750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-2.097</w:t>
            </w:r>
          </w:p>
        </w:tc>
      </w:tr>
      <w:tr>
        <w:tc>
          <w:tcPr>
            <w:gridSpan w:val="2"/>
          </w:tcPr>
          <w:p>
            <w:pPr>
              <w:pStyle w:val="Compact"/>
              <w:jc w:val="right"/>
            </w:pPr>
            <w:r>
              <w:rPr>
                <w:bCs/>
                <w:b/>
              </w:rPr>
              <w:t xml:space="preserve">Total PCF</w:t>
            </w:r>
          </w:p>
        </w:tc>
        <w:tc>
          <w:tcPr/>
          <w:p>
            <w:pPr>
              <w:pStyle w:val="Compact"/>
              <w:jc w:val="left"/>
            </w:pPr>
            <w:r>
              <w:rPr>
                <w:bCs/>
                <w:b/>
              </w:rPr>
              <w:t xml:space="preserve">8.809 kgCO2e/unit</w:t>
            </w:r>
          </w:p>
        </w:tc>
      </w:tr>
    </w:tbl>
    <w:p>
      <w:r>
        <w:pict>
          <v:rect style="width:0;height:1.5pt" o:hralign="center" o:hrstd="t" o:hr="t"/>
        </w:pict>
      </w:r>
    </w:p>
    <w:bookmarkEnd w:id="40"/>
    <w:bookmarkEnd w:id="41"/>
    <w:bookmarkStart w:id="44" w:name="review-report"/>
    <w:p>
      <w:pPr>
        <w:pStyle w:val="Heading2"/>
      </w:pPr>
      <w:r>
        <w:t xml:space="preserve">6. Review &amp; Report</w:t>
      </w:r>
    </w:p>
    <w:bookmarkStart w:id="42" w:name="emission-hotspots-and-reliability"/>
    <w:p>
      <w:pPr>
        <w:pStyle w:val="Heading3"/>
      </w:pPr>
      <w:r>
        <w:t xml:space="preserve">6.1. Emission Hotspots and Reliability</w:t>
      </w:r>
    </w:p>
    <w:p>
      <w:pPr>
        <w:pStyle w:val="FirstParagraph"/>
      </w:pPr>
      <w:r>
        <w:t xml:space="preserve">The primary emission hotspots for yewlptgymq are identified as:</w:t>
      </w:r>
    </w:p>
    <w:p>
      <w:pPr>
        <w:numPr>
          <w:ilvl w:val="0"/>
          <w:numId w:val="1013"/>
        </w:numPr>
        <w:pStyle w:val="Compact"/>
      </w:pPr>
      <w:r>
        <w:rPr>
          <w:bCs/>
          <w:b/>
        </w:rPr>
        <w:t xml:space="preserve">Purchased Goods and Services (Scope 3, Category 1):</w:t>
      </w:r>
      <w:r>
        <w:t xml:space="preserve"> </w:t>
      </w:r>
      <w:r>
        <w:t xml:space="preserve">This category accounts for the largest share of emissions (5.991 kgCO2e/unit), primarily driven by the energy-intensive production of materials like the Printed Circuit Board (PCB), Aluminum, and Lithium-ion battery. The PCB, despite its small weight, has a high per-kg emission factor due to complex manufacturing processes and embedded electronics.</w:t>
      </w:r>
    </w:p>
    <w:p>
      <w:pPr>
        <w:numPr>
          <w:ilvl w:val="0"/>
          <w:numId w:val="1013"/>
        </w:numPr>
        <w:pStyle w:val="Compact"/>
      </w:pPr>
      <w:r>
        <w:rPr>
          <w:bCs/>
          <w:b/>
        </w:rPr>
        <w:t xml:space="preserve">Use of Sold Products (Scope 3, Category 11):</w:t>
      </w:r>
      <w:r>
        <w:t xml:space="preserve"> </w:t>
      </w:r>
      <w:r>
        <w:t xml:space="preserve">The energy consumption during the 3-year lifespan of the product significantly contributes to the footprint (3.750 kgCO2e/unit).</w:t>
      </w:r>
    </w:p>
    <w:p>
      <w:pPr>
        <w:numPr>
          <w:ilvl w:val="0"/>
          <w:numId w:val="1013"/>
        </w:numPr>
        <w:pStyle w:val="Compact"/>
      </w:pPr>
      <w:r>
        <w:rPr>
          <w:bCs/>
          <w:b/>
        </w:rPr>
        <w:t xml:space="preserve">Production Energy (Scope 2):</w:t>
      </w:r>
      <w:r>
        <w:t xml:space="preserve"> </w:t>
      </w:r>
      <w:r>
        <w:t xml:space="preserve">Purchased electricity for manufacturing in China (1.015 kgCO2e/unit) is also a notable contributor, reflecting the carbon intensity of the regional grid mix.</w:t>
      </w:r>
    </w:p>
    <w:p>
      <w:pPr>
        <w:pStyle w:val="FirstParagraph"/>
      </w:pPr>
      <w:r>
        <w:rPr>
          <w:bCs/>
          <w:b/>
        </w:rPr>
        <w:t xml:space="preserve">Reliability:</w:t>
      </w:r>
      <w:r>
        <w:t xml:space="preserve"> </w:t>
      </w:r>
      <w:r>
        <w:t xml:space="preserve">This analysis relies on a mix of primary and secondary data. While product-specific parameters (e.g., energy intensity) were provided, material and transport emission factors are illustrative industry averages. The accuracy could be further improved with supplier-specific primary data for all BOM items and detailed energy consumption breakdown for manufacturing processes, as highlighted by the GHG Protocol\'s move towards higher data quality in 2026. The 95% Scope 3 coverage target ensures that all significant emission sources are considered.</w:t>
      </w:r>
    </w:p>
    <w:bookmarkEnd w:id="42"/>
    <w:bookmarkStart w:id="43" w:name="recommendations-for-emission-reduction"/>
    <w:p>
      <w:pPr>
        <w:pStyle w:val="Heading3"/>
      </w:pPr>
      <w:r>
        <w:t xml:space="preserve">6.2. Recommendations for Emission Reduction</w:t>
      </w:r>
    </w:p>
    <w:p>
      <w:pPr>
        <w:numPr>
          <w:ilvl w:val="0"/>
          <w:numId w:val="1014"/>
        </w:numPr>
        <w:pStyle w:val="Compact"/>
      </w:pPr>
      <w:r>
        <w:rPr>
          <w:bCs/>
          <w:b/>
        </w:rPr>
        <w:t xml:space="preserve">Material Optimization:</w:t>
      </w:r>
    </w:p>
    <w:p>
      <w:pPr>
        <w:numPr>
          <w:ilvl w:val="1"/>
          <w:numId w:val="1015"/>
        </w:numPr>
        <w:pStyle w:val="Compact"/>
      </w:pPr>
      <w:r>
        <w:t xml:space="preserve">Explore alternative lower-carbon materials for the casing (e.g., recycled aluminum with certified low-carbon processes) or the plastic enclosure (e.g., bio-based or recycled content plastics).</w:t>
      </w:r>
    </w:p>
    <w:p>
      <w:pPr>
        <w:numPr>
          <w:ilvl w:val="1"/>
          <w:numId w:val="1015"/>
        </w:numPr>
        <w:pStyle w:val="Compact"/>
      </w:pPr>
      <w:r>
        <w:t xml:space="preserve">Engage with PCB and battery suppliers to obtain product-specific emission data and encourage them to transition to renewable energy sources in their manufacturing.</w:t>
      </w:r>
    </w:p>
    <w:p>
      <w:pPr>
        <w:numPr>
          <w:ilvl w:val="0"/>
          <w:numId w:val="1014"/>
        </w:numPr>
        <w:pStyle w:val="Compact"/>
      </w:pPr>
      <w:r>
        <w:rPr>
          <w:bCs/>
          <w:b/>
        </w:rPr>
        <w:t xml:space="preserve">Manufacturing Efficiency &amp; Renewable Energy:</w:t>
      </w:r>
    </w:p>
    <w:p>
      <w:pPr>
        <w:numPr>
          <w:ilvl w:val="1"/>
          <w:numId w:val="1016"/>
        </w:numPr>
        <w:pStyle w:val="Compact"/>
      </w:pPr>
      <w:r>
        <w:t xml:space="preserve">Increase the percentage of renewable energy usage at the production facility in China beyond the current 30% (squjppxpzd). This directly reduces Scope 2 emissions.</w:t>
      </w:r>
    </w:p>
    <w:p>
      <w:pPr>
        <w:numPr>
          <w:ilvl w:val="1"/>
          <w:numId w:val="1016"/>
        </w:numPr>
        <w:pStyle w:val="Compact"/>
      </w:pPr>
      <w:r>
        <w:t xml:space="preserve">Implement energy efficiency measures in the manufacturing process to reduce the energy intensity per unit (ivdgmlzoxd).</w:t>
      </w:r>
    </w:p>
    <w:p>
      <w:pPr>
        <w:numPr>
          <w:ilvl w:val="0"/>
          <w:numId w:val="1014"/>
        </w:numPr>
        <w:pStyle w:val="Compact"/>
      </w:pPr>
      <w:r>
        <w:rPr>
          <w:bCs/>
          <w:b/>
        </w:rPr>
        <w:t xml:space="preserve">Use Phase Decarbonization:</w:t>
      </w:r>
    </w:p>
    <w:p>
      <w:pPr>
        <w:numPr>
          <w:ilvl w:val="1"/>
          <w:numId w:val="1017"/>
        </w:numPr>
        <w:pStyle w:val="Compact"/>
      </w:pPr>
      <w:r>
        <w:t xml:space="preserve">Optimize product design for energy efficiency to reduce annual energy consumption (mpljmurxdv) during its lifespan.</w:t>
      </w:r>
    </w:p>
    <w:p>
      <w:pPr>
        <w:numPr>
          <w:ilvl w:val="1"/>
          <w:numId w:val="1017"/>
        </w:numPr>
        <w:pStyle w:val="Compact"/>
      </w:pPr>
      <w:r>
        <w:t xml:space="preserve">Educate consumers on efficient use and provide options for renewable energy sourcing for product operation if applicable.</w:t>
      </w:r>
    </w:p>
    <w:p>
      <w:pPr>
        <w:numPr>
          <w:ilvl w:val="0"/>
          <w:numId w:val="1014"/>
        </w:numPr>
        <w:pStyle w:val="Compact"/>
      </w:pPr>
      <w:r>
        <w:rPr>
          <w:bCs/>
          <w:b/>
        </w:rPr>
        <w:t xml:space="preserve">Circular Economy &amp; End-of-Life:</w:t>
      </w:r>
    </w:p>
    <w:p>
      <w:pPr>
        <w:numPr>
          <w:ilvl w:val="1"/>
          <w:numId w:val="1018"/>
        </w:numPr>
        <w:pStyle w:val="Compact"/>
      </w:pPr>
      <w:r>
        <w:t xml:space="preserve">Enhance recyclability beyond 70% (vsmvytwtyi) through design for disassembly and material selection.</w:t>
      </w:r>
    </w:p>
    <w:p>
      <w:pPr>
        <w:numPr>
          <w:ilvl w:val="1"/>
          <w:numId w:val="1018"/>
        </w:numPr>
        <w:pStyle w:val="Compact"/>
      </w:pPr>
      <w:r>
        <w:t xml:space="preserve">Strengthen existing circular/take-back programs (dnvxgxpdjz) to ensure high collection and effective recycling rates.</w:t>
      </w:r>
    </w:p>
    <w:p>
      <w:pPr>
        <w:numPr>
          <w:ilvl w:val="0"/>
          <w:numId w:val="1014"/>
        </w:numPr>
        <w:pStyle w:val="Compact"/>
      </w:pPr>
      <w:r>
        <w:rPr>
          <w:bCs/>
          <w:b/>
        </w:rPr>
        <w:t xml:space="preserve">Data Transparency:</w:t>
      </w:r>
    </w:p>
    <w:p>
      <w:pPr>
        <w:numPr>
          <w:ilvl w:val="1"/>
          <w:numId w:val="1019"/>
        </w:numPr>
        <w:pStyle w:val="Compact"/>
      </w:pPr>
      <w:r>
        <w:t xml:space="preserve">Proactively engage supply chain partners to collect primary activity data for more precise Scope 3 accounting, aligning with 2026 GHG Protocol expectations for data disaggregation.</w:t>
      </w:r>
    </w:p>
    <w:p>
      <w:r>
        <w:pict>
          <v:rect style="width:0;height:1.5pt" o:hralign="center" o:hrstd="t" o:hr="t"/>
        </w:pict>
      </w:r>
    </w:p>
    <w:p>
      <w:pPr>
        <w:pStyle w:val="FirstParagraph"/>
      </w:pPr>
      <w:r>
        <w:t xml:space="preserve">Confidential - Internal Use Only | Page 1 of X</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yewlptgymq</dc:title>
  <dc:creator/>
  <dc:description>High-detail Product Carbon Footprint (PCF) analysis for yewlptgymq by nudwhnzsmg, Senior Sustainability Consultant at hzrdrdvxjd, adhering to GHG Protocol and 2026 LSR Update.</dc:description>
  <dc:language>en</dc:language>
  <cp:keywords/>
  <dcterms:created xsi:type="dcterms:W3CDTF">2026-07-16T07:00:12Z</dcterms:created>
  <dcterms:modified xsi:type="dcterms:W3CDTF">2026-07-16T07:00:12Z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