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yekpxnqyku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yekpxnqyku</w:t>
      </w:r>
    </w:p>
    <w:p>
      <w:pPr>
        <w:pStyle w:val="BodyText"/>
      </w:pPr>
      <w:r>
        <w:rPr>
          <w:bCs/>
          <w:b/>
        </w:rPr>
        <w:t xml:space="preserve">Company Name:</w:t>
      </w:r>
      <w:r>
        <w:t xml:space="preserve"> </w:t>
      </w:r>
      <w:r>
        <w:t xml:space="preserve">dinquwohxy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vsioyyfwnn</w:t>
      </w:r>
    </w:p>
    <w:p>
      <w:pPr>
        <w:pStyle w:val="BodyText"/>
      </w:pPr>
      <w:r>
        <w:t xml:space="preserve">Generated Date: May 20, 2026</w:t>
      </w:r>
    </w:p>
    <w:p>
      <w:pPr>
        <w:pStyle w:val="BodyText"/>
      </w:pPr>
      <w:r>
        <w:t xml:space="preserve">This report is generated based on available data and industry standards.</w:t>
      </w:r>
      <w:r>
        <w:t xml:space="preserve"> </w:t>
      </w:r>
      <w:r>
        <w:t xml:space="preserve">Illustrative data has been used for parameters provided as placeholders,</w:t>
      </w:r>
      <w:r>
        <w:t xml:space="preserve"> </w:t>
      </w:r>
      <w:r>
        <w:t xml:space="preserve">and actual calculations may vary with primary data.</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vsioyyfwnn</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yekpxnqyku</w:t>
      </w:r>
      <w:r>
        <w:t xml:space="preserve">, manufactured by</w:t>
      </w:r>
      <w:r>
        <w:t xml:space="preserve"> </w:t>
      </w:r>
      <w:r>
        <w:rPr>
          <w:bCs/>
          <w:b/>
        </w:rPr>
        <w:t xml:space="preserve">dinquwohxy</w:t>
      </w:r>
      <w:r>
        <w:t xml:space="preserve">. The analysis adheres to the Greenhouse Gas (GHG) Protocol, including considerations for the upcoming 2026 Land Sector and Removals (LSR) Standard and stringent Scope 3 reporting requirements. The objective is to quantify the greenhouse gas emissions associated with the product\'s life cycle, identify emission hotspots, and provide a foundation for targeted decarbonization strategies. This assessment covers the lifecycle from material acquisition to the factory gate, with extended analysis for the use and end-of-life phases, based on a functional unit of 1.0 unit of yekpxnqyku.</w:t>
      </w:r>
    </w:p>
    <w:p>
      <w:r>
        <w:pict>
          <v:rect style="width:0;height:1.5pt" o:hralign="center" o:hrstd="t" o:hr="t"/>
        </w:pict>
      </w:r>
    </w:p>
    <w:bookmarkEnd w:id="21"/>
    <w:bookmarkStart w:id="23" w:name="defining-the-scope-of-analysis"/>
    <w:p>
      <w:pPr>
        <w:pStyle w:val="Heading2"/>
      </w:pPr>
      <w:r>
        <w:t xml:space="preserve">1. Defining the Scope of Analysis</w:t>
      </w:r>
    </w:p>
    <w:p>
      <w:pPr>
        <w:pStyle w:val="FirstParagraph"/>
      </w:pPr>
      <w:r>
        <w:t xml:space="preserve">The initial step in any Product Carbon Footprint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 of yekpxnqyku</w:t>
      </w:r>
      <w:r>
        <w:t xml:space="preserve">. This provides a reference to which all inputs and outputs are normalized.</w:t>
      </w:r>
    </w:p>
    <w:p>
      <w:pPr>
        <w:numPr>
          <w:ilvl w:val="0"/>
          <w:numId w:val="1001"/>
        </w:numPr>
        <w:pStyle w:val="Compact"/>
      </w:pPr>
      <w:r>
        <w:rPr>
          <w:bCs/>
          <w:b/>
        </w:rPr>
        <w:t xml:space="preserve">System Boundary:</w:t>
      </w:r>
      <w:r>
        <w:t xml:space="preserve"> </w:t>
      </w:r>
      <w:r>
        <w:t xml:space="preserve">The primary system boundary for the core PCF is</w:t>
      </w:r>
      <w:r>
        <w:t xml:space="preserve"> </w:t>
      </w:r>
      <w:r>
        <w:rPr>
          <w:bCs/>
          <w:b/>
        </w:rPr>
        <w:t xml:space="preserve">factory_gate</w:t>
      </w:r>
      <w:r>
        <w:t xml:space="preserve">, encompassing raw material acquisition, manufacturing, and transport to the point of dispatch from the production facility. For a comprehensive life cycle understanding, and as per the report requirements, the analysis is extended to include the Use Phase and End-of-Life (EoL) scenarios, which fall under downstream Scope 3 categories.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transport and potentially downstream use).</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Corporate Accounting and Reporting Standard and the Corporate Value Chain (Scope 3) Accounting and Reporting Standard. The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For multi-product systems or shared processes, economic allocation is generally preferred under the GHG Protocol where physical relationships are not clearly established. For this product-specific analysis, direct attribution is applied where possible.</w:t>
      </w:r>
    </w:p>
    <w:bookmarkStart w:id="22" w:name="X8877664c7f8833a514558f437f739c3634cd437"/>
    <w:p>
      <w:pPr>
        <w:pStyle w:val="Heading3"/>
      </w:pPr>
      <w:r>
        <w:t xml:space="preserve">1.1 Adherence to GHG Protocol and 2026 Updates</w:t>
      </w:r>
    </w:p>
    <w:p>
      <w:pPr>
        <w:numPr>
          <w:ilvl w:val="0"/>
          <w:numId w:val="1003"/>
        </w:numPr>
        <w:pStyle w:val="Compact"/>
      </w:pPr>
      <w:r>
        <w:rPr>
          <w:bCs/>
          <w:b/>
        </w:rPr>
        <w:t xml:space="preserve">Scope 1, 2, &amp; 3 Categorization:</w:t>
      </w:r>
      <w:r>
        <w:t xml:space="preserve"> </w:t>
      </w:r>
      <w:r>
        <w:t xml:space="preserve">Emissions are meticulously categorized to distinguish between direct emissions from owned or controlled sources (Scope 1), indirect emissions from purchased energy (Scope 2), and all other indirect emissions occurring in the value chain (Scope 3).</w:t>
      </w:r>
    </w:p>
    <w:p>
      <w:pPr>
        <w:numPr>
          <w:ilvl w:val="0"/>
          <w:numId w:val="1003"/>
        </w:numPr>
        <w:pStyle w:val="Compact"/>
      </w:pPr>
      <w:r>
        <w:rPr>
          <w:bCs/>
          <w:b/>
        </w:rPr>
        <w:t xml:space="preserve">2026 LSR Update:</w:t>
      </w:r>
      <w:r>
        <w:t xml:space="preserve"> </w:t>
      </w:r>
      <w:r>
        <w:t xml:space="preserve">The GHG Protocol’s Land Sector and Removals (LSR) Standard, released on January 30, 2026, and effective January 1, 2027, provides a framework for accounting for land-based emissions and carbon dioxide removals. While specific land-use data for yekpxnqyku\'s supply chain is not available, this report acknowledges the LSR Standard and its upcoming guidance (expected Q2 2026) as crucial for future, more granular assessments, especially for agricultural or forestry-intensive products.</w:t>
      </w:r>
    </w:p>
    <w:p>
      <w:pPr>
        <w:numPr>
          <w:ilvl w:val="0"/>
          <w:numId w:val="1003"/>
        </w:numPr>
        <w:pStyle w:val="Compact"/>
      </w:pPr>
      <w:r>
        <w:rPr>
          <w:bCs/>
          <w:b/>
        </w:rPr>
        <w:t xml:space="preserve">Scope 3 Compliance:</w:t>
      </w:r>
      <w:r>
        <w:t xml:space="preserve"> </w:t>
      </w:r>
      <w:r>
        <w:t xml:space="preserve">The report ensures at least 95% coverage for Scope 3 reporting, aligning with proposed 2026 requirements aimed at increasing the completeness, consistency, and transparency of value chain emissions inventories. This mandates a thorough quantification of all relevant Scope 3 categories, allowing for only justified exclusions not exceeding 5% of total required Scope 3 emissions.</w:t>
      </w:r>
    </w:p>
    <w:p>
      <w:r>
        <w:pict>
          <v:rect style="width:0;height:1.5pt" o:hralign="center" o:hrstd="t" o:hr="t"/>
        </w:pict>
      </w:r>
    </w:p>
    <w:bookmarkEnd w:id="22"/>
    <w:bookmarkEnd w:id="23"/>
    <w:bookmarkStart w:id="30" w:name="mapping-the-lifecycle-3.-data-collection"/>
    <w:p>
      <w:pPr>
        <w:pStyle w:val="Heading2"/>
      </w:pPr>
      <w:r>
        <w:t xml:space="preserve">2. Mapping the Lifecycle &amp; 3. Data Collection</w:t>
      </w:r>
    </w:p>
    <w:p>
      <w:pPr>
        <w:pStyle w:val="FirstParagraph"/>
      </w:pPr>
      <w:r>
        <w:t xml:space="preserve">The lifecycle of yekpxnqyku is mapped across several stages, and relevant data points are collected. For parameters provided as placeholders in the request, illustrative data has been used to demonstrate the methodology. This illustrative data is clearly marked.</w:t>
      </w:r>
    </w:p>
    <w:bookmarkStart w:id="25" w:name="Xe003239ac7eebc7943993cc10dff38728f6689b"/>
    <w:p>
      <w:pPr>
        <w:pStyle w:val="Heading3"/>
      </w:pPr>
      <w:r>
        <w:t xml:space="preserve">2.1 Raw Material Acquisition and Pre-processing (Upstream - Scope 3, Category 1)</w:t>
      </w:r>
    </w:p>
    <w:p>
      <w:pPr>
        <w:pStyle w:val="FirstParagraph"/>
      </w:pPr>
      <w:r>
        <w:t xml:space="preserve">The Detailed Bill of Materials (BOM) for yekpxnqyku, which was provided as</w:t>
      </w:r>
      <w:r>
        <w:t xml:space="preserve"> </w:t>
      </w:r>
      <w:r>
        <w:rPr>
          <w:rStyle w:val="VerbatimChar"/>
        </w:rPr>
        <w:t xml:space="preserve">rgpwzfmj</w:t>
      </w:r>
      <w:r>
        <w:t xml:space="preserve">, is a placeholder string. To proceed with the analysis as required, an illustrative BOM structure with hypothetical, but representative, material data and emission factors (sourced generically from Ecoinvent/DEFRA for demonstration) has been assumed.</w:t>
      </w:r>
    </w:p>
    <w:bookmarkStart w:id="24" w:name="X9ed8ae74a502f3fc4caca02c521a4a92e587ab1"/>
    <w:p>
      <w:pPr>
        <w:pStyle w:val="Heading4"/>
      </w:pPr>
      <w:r>
        <w:t xml:space="preserve">Illustrative 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Illustrative Emission Factor (kgCO2e/kg)</w:t>
            </w:r>
          </w:p>
        </w:tc>
        <w:tc>
          <w:tcPr/>
          <w:p>
            <w:pPr>
              <w:pStyle w:val="Compact"/>
              <w:jc w:val="left"/>
            </w:pPr>
            <w:r>
              <w:t xml:space="preserve">Illustrative Total Carbon (kgCO2e)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gridSpan w:val="7"/>
          </w:tcPr>
          <w:p>
            <w:pPr>
              <w:pStyle w:val="Compact"/>
              <w:jc w:val="right"/>
            </w:pPr>
            <w:r>
              <w:t xml:space="preserve">Total Illustrative Material Carbon Footprint:</w:t>
            </w:r>
          </w:p>
        </w:tc>
        <w:tc>
          <w:tcPr/>
          <w:p>
            <w:pPr>
              <w:pStyle w:val="Compact"/>
              <w:jc w:val="left"/>
            </w:pPr>
            <w:r>
              <w:t xml:space="preserve">5.55 kgCO2e</w:t>
            </w:r>
          </w:p>
        </w:tc>
      </w:tr>
    </w:tbl>
    <w:p>
      <w:pPr>
        <w:pStyle w:val="BodyText"/>
      </w:pPr>
      <w:r>
        <w:rPr>
          <w:iCs/>
          <w:i/>
        </w:rPr>
        <w:t xml:space="preserve">Note: The "Illustrative Emission Factor" values are generic and representative, drawing upon typical ranges found in databases like Ecoinvent for processes such as aluminum extrusion and general estimates for plastics and electronics. Actual factors would require specific material grades, manufacturing processes, and supplier data.</w:t>
      </w:r>
    </w:p>
    <w:bookmarkEnd w:id="24"/>
    <w:bookmarkEnd w:id="25"/>
    <w:bookmarkStart w:id="26" w:name="X13f6fefae24cb1ca2ed366b6eb525116f374a80"/>
    <w:p>
      <w:pPr>
        <w:pStyle w:val="Heading3"/>
      </w:pPr>
      <w:r>
        <w:t xml:space="preserve">2.2 Production Phase (Scope 2 &amp; potentially Scope 1, Scope 3)</w:t>
      </w:r>
    </w:p>
    <w:p>
      <w:pPr>
        <w:pStyle w:val="FirstParagraph"/>
      </w:pPr>
      <w:r>
        <w:t xml:space="preserve">The energy consumption during the production of yekpxnqyku in China is a critical factor. The parameters provided,</w:t>
      </w:r>
      <w:r>
        <w:t xml:space="preserve"> </w:t>
      </w:r>
      <w:r>
        <w:rPr>
          <w:rStyle w:val="VerbatimChar"/>
        </w:rPr>
        <w:t xml:space="preserve">lytiuootsy</w:t>
      </w:r>
      <w:r>
        <w:t xml:space="preserve"> </w:t>
      </w:r>
      <w:r>
        <w:t xml:space="preserve">for renewable energy usage and</w:t>
      </w:r>
      <w:r>
        <w:t xml:space="preserve"> </w:t>
      </w:r>
      <w:r>
        <w:rPr>
          <w:rStyle w:val="VerbatimChar"/>
        </w:rPr>
        <w:t xml:space="preserve">xygjttilrw</w:t>
      </w:r>
      <w:r>
        <w:t xml:space="preserve"> </w:t>
      </w:r>
      <w:r>
        <w:t xml:space="preserve">for energy intensity, are placeholder strings. Illustrative values are used for demonstration.</w:t>
      </w:r>
    </w:p>
    <w:p>
      <w:pPr>
        <w:numPr>
          <w:ilvl w:val="0"/>
          <w:numId w:val="1004"/>
        </w:numPr>
        <w:pStyle w:val="Compact"/>
      </w:pPr>
      <w:r>
        <w:rPr>
          <w:bCs/>
          <w:b/>
        </w:rPr>
        <w:t xml:space="preserve">Illustrative Energy Intensity (kWh/unit):</w:t>
      </w:r>
      <w:r>
        <w:t xml:space="preserve"> </w:t>
      </w:r>
      <w:r>
        <w:t xml:space="preserve">8.5 kWh/unit</w:t>
      </w:r>
    </w:p>
    <w:p>
      <w:pPr>
        <w:numPr>
          <w:ilvl w:val="0"/>
          <w:numId w:val="1004"/>
        </w:numPr>
        <w:pStyle w:val="Compact"/>
      </w:pPr>
      <w:r>
        <w:rPr>
          <w:bCs/>
          <w:b/>
        </w:rPr>
        <w:t xml:space="preserve">Illustrative Renewable Energy Usage:</w:t>
      </w:r>
      <w:r>
        <w:t xml:space="preserve"> </w:t>
      </w:r>
      <w:r>
        <w:t xml:space="preserve">40%</w:t>
      </w:r>
    </w:p>
    <w:p>
      <w:pPr>
        <w:numPr>
          <w:ilvl w:val="0"/>
          <w:numId w:val="1004"/>
        </w:numPr>
        <w:pStyle w:val="Compact"/>
      </w:pPr>
      <w:r>
        <w:rPr>
          <w:bCs/>
          <w:b/>
        </w:rPr>
        <w:t xml:space="preserve">Illustrative Grid Electricity Emission Factor (China):</w:t>
      </w:r>
      <w:r>
        <w:t xml:space="preserve"> </w:t>
      </w:r>
      <w:r>
        <w:t xml:space="preserve">0.6 kgCO2e/kWh (Average for China\'s electricity grid)</w:t>
      </w:r>
    </w:p>
    <w:p>
      <w:pPr>
        <w:numPr>
          <w:ilvl w:val="0"/>
          <w:numId w:val="1004"/>
        </w:numPr>
        <w:pStyle w:val="Compact"/>
      </w:pPr>
      <w:r>
        <w:rPr>
          <w:bCs/>
          <w:b/>
        </w:rPr>
        <w:t xml:space="preserve">Illustrative Renewable Electricity Emission Factor:</w:t>
      </w:r>
      <w:r>
        <w:t xml:space="preserve"> </w:t>
      </w:r>
      <w:r>
        <w:t xml:space="preserve">0 kgCO2e/kWh (Assuming zero direct emissions from renewable sources)</w:t>
      </w:r>
    </w:p>
    <w:bookmarkEnd w:id="26"/>
    <w:bookmarkStart w:id="27" w:name="X5a94f9fff61160d5723b01d412105dfc1259cab"/>
    <w:p>
      <w:pPr>
        <w:pStyle w:val="Heading3"/>
      </w:pPr>
      <w:r>
        <w:t xml:space="preserve">2.3 Transportation (Upstream &amp; Downstream - Scope 3, Categories 4 &amp; 9)</w:t>
      </w:r>
    </w:p>
    <w:p>
      <w:pPr>
        <w:pStyle w:val="FirstParagraph"/>
      </w:pPr>
      <w:r>
        <w:t xml:space="preserve">Transportation of materials to the factory and the finished product to the customer constitutes significant Scope 3 emissions. The provided parameters,</w:t>
      </w:r>
      <w:r>
        <w:t xml:space="preserve"> </w:t>
      </w:r>
      <w:r>
        <w:rPr>
          <w:rStyle w:val="VerbatimChar"/>
        </w:rPr>
        <w:t xml:space="preserve">Select Mode</w:t>
      </w:r>
      <w:r>
        <w:t xml:space="preserve"> </w:t>
      </w:r>
      <w:r>
        <w:t xml:space="preserve">for transport mode,</w:t>
      </w:r>
      <w:r>
        <w:t xml:space="preserve"> </w:t>
      </w:r>
      <w:r>
        <w:rPr>
          <w:rStyle w:val="VerbatimChar"/>
        </w:rPr>
        <w:t xml:space="preserve">luxhwiesvy</w:t>
      </w:r>
      <w:r>
        <w:t xml:space="preserve"> </w:t>
      </w:r>
      <w:r>
        <w:t xml:space="preserve">for transport distance, and</w:t>
      </w:r>
      <w:r>
        <w:t xml:space="preserve"> </w:t>
      </w:r>
      <w:r>
        <w:rPr>
          <w:rStyle w:val="VerbatimChar"/>
        </w:rPr>
        <w:t xml:space="preserve">Delivery Type</w:t>
      </w:r>
      <w:r>
        <w:t xml:space="preserve"> </w:t>
      </w:r>
      <w:r>
        <w:t xml:space="preserve">for last-mile delivery, are placeholders. Illustrative values are used.</w:t>
      </w:r>
    </w:p>
    <w:p>
      <w:pPr>
        <w:numPr>
          <w:ilvl w:val="0"/>
          <w:numId w:val="1005"/>
        </w:numPr>
        <w:pStyle w:val="Compact"/>
      </w:pPr>
      <w:r>
        <w:rPr>
          <w:bCs/>
          <w:b/>
        </w:rPr>
        <w:t xml:space="preserve">Illustrative Total Product Weight:</w:t>
      </w:r>
      <w:r>
        <w:t xml:space="preserve"> </w:t>
      </w:r>
      <w:r>
        <w:t xml:space="preserve">0.8 kg (sum of illustrative BOM materials)</w:t>
      </w:r>
    </w:p>
    <w:p>
      <w:pPr>
        <w:numPr>
          <w:ilvl w:val="0"/>
          <w:numId w:val="1005"/>
        </w:numPr>
        <w:pStyle w:val="Compact"/>
      </w:pPr>
      <w:r>
        <w:rPr>
          <w:bCs/>
          <w:b/>
        </w:rPr>
        <w:t xml:space="preserve">Illustrative Upstream Transport Mode (China to Production Facility, assuming key raw materials):</w:t>
      </w:r>
      <w:r>
        <w:t xml:space="preserve"> </w:t>
      </w:r>
      <w:r>
        <w:t xml:space="preserve">Ocean Freight (Main leg)</w:t>
      </w:r>
    </w:p>
    <w:p>
      <w:pPr>
        <w:numPr>
          <w:ilvl w:val="0"/>
          <w:numId w:val="1005"/>
        </w:numPr>
        <w:pStyle w:val="Compact"/>
      </w:pPr>
      <w:r>
        <w:rPr>
          <w:bCs/>
          <w:b/>
        </w:rPr>
        <w:t xml:space="preserve">Illustrative Upstream Transport Distance:</w:t>
      </w:r>
      <w:r>
        <w:t xml:space="preserve"> </w:t>
      </w:r>
      <w:r>
        <w:t xml:space="preserve">12,000 km</w:t>
      </w:r>
    </w:p>
    <w:p>
      <w:pPr>
        <w:numPr>
          <w:ilvl w:val="0"/>
          <w:numId w:val="1005"/>
        </w:numPr>
        <w:pStyle w:val="Compact"/>
      </w:pPr>
      <w:r>
        <w:rPr>
          <w:bCs/>
          <w:b/>
        </w:rPr>
        <w:t xml:space="preserve">Illustrative Ocean Freight Emission Factor:</w:t>
      </w:r>
      <w:r>
        <w:t xml:space="preserve"> </w:t>
      </w:r>
      <w:r>
        <w:t xml:space="preserve">0.016 kgCO2e/tonne-km</w:t>
      </w:r>
    </w:p>
    <w:p>
      <w:pPr>
        <w:numPr>
          <w:ilvl w:val="0"/>
          <w:numId w:val="1005"/>
        </w:numPr>
        <w:pStyle w:val="Compact"/>
      </w:pPr>
      <w:r>
        <w:rPr>
          <w:bCs/>
          <w:b/>
        </w:rPr>
        <w:t xml:space="preserve">Illustrative Downstream Transport Mode (Last-Mile Delivery, Europe):</w:t>
      </w:r>
      <w:r>
        <w:t xml:space="preserve"> </w:t>
      </w:r>
      <w:r>
        <w:t xml:space="preserve">Road (Light Commercial Vehicle)</w:t>
      </w:r>
    </w:p>
    <w:p>
      <w:pPr>
        <w:numPr>
          <w:ilvl w:val="0"/>
          <w:numId w:val="1005"/>
        </w:numPr>
        <w:pStyle w:val="Compact"/>
      </w:pPr>
      <w:r>
        <w:rPr>
          <w:bCs/>
          <w:b/>
        </w:rPr>
        <w:t xml:space="preserve">Illustrative Downstream Transport Distance:</w:t>
      </w:r>
      <w:r>
        <w:t xml:space="preserve"> </w:t>
      </w:r>
      <w:r>
        <w:t xml:space="preserve">500 km</w:t>
      </w:r>
    </w:p>
    <w:p>
      <w:pPr>
        <w:numPr>
          <w:ilvl w:val="0"/>
          <w:numId w:val="1005"/>
        </w:numPr>
        <w:pStyle w:val="Compact"/>
      </w:pPr>
      <w:r>
        <w:rPr>
          <w:bCs/>
          <w:b/>
        </w:rPr>
        <w:t xml:space="preserve">Illustrative Road Transport Emission Factor (Light Commercial Vehicle):</w:t>
      </w:r>
      <w:r>
        <w:t xml:space="preserve"> </w:t>
      </w:r>
      <w:r>
        <w:t xml:space="preserve">0.2 kgCO2e/tonne-km (illustrative average for LCV)</w:t>
      </w:r>
    </w:p>
    <w:bookmarkEnd w:id="27"/>
    <w:bookmarkStart w:id="28" w:name="X01fffecb4d51cf9638741502492363d57dc681a"/>
    <w:p>
      <w:pPr>
        <w:pStyle w:val="Heading3"/>
      </w:pPr>
      <w:r>
        <w:t xml:space="preserve">2.4 Use Phase (Downstream - Scope 3, Category 11)</w:t>
      </w:r>
    </w:p>
    <w:p>
      <w:pPr>
        <w:pStyle w:val="FirstParagraph"/>
      </w:pPr>
      <w:r>
        <w:t xml:space="preserve">The energy consumption during the product\'s use phase is captured here. The parameters</w:t>
      </w:r>
      <w:r>
        <w:t xml:space="preserve"> </w:t>
      </w:r>
      <w:r>
        <w:rPr>
          <w:rStyle w:val="VerbatimChar"/>
        </w:rPr>
        <w:t xml:space="preserve">xdrgemdldr</w:t>
      </w:r>
      <w:r>
        <w:t xml:space="preserve"> </w:t>
      </w:r>
      <w:r>
        <w:t xml:space="preserve">for product lifespan and</w:t>
      </w:r>
      <w:r>
        <w:t xml:space="preserve"> </w:t>
      </w:r>
      <w:r>
        <w:rPr>
          <w:rStyle w:val="VerbatimChar"/>
        </w:rPr>
        <w:t xml:space="preserve">ihxzpdpidk</w:t>
      </w:r>
      <w:r>
        <w:t xml:space="preserve"> </w:t>
      </w:r>
      <w:r>
        <w:t xml:space="preserve">for energy consumption in use are placeholders. Illustrative values are used.</w:t>
      </w:r>
    </w:p>
    <w:p>
      <w:pPr>
        <w:numPr>
          <w:ilvl w:val="0"/>
          <w:numId w:val="1006"/>
        </w:numPr>
        <w:pStyle w:val="Compact"/>
      </w:pPr>
      <w:r>
        <w:rPr>
          <w:bCs/>
          <w:b/>
        </w:rPr>
        <w:t xml:space="preserve">Illustrative Product Lifespan:</w:t>
      </w:r>
      <w:r>
        <w:t xml:space="preserve"> </w:t>
      </w:r>
      <w:r>
        <w:t xml:space="preserve">7 years</w:t>
      </w:r>
    </w:p>
    <w:p>
      <w:pPr>
        <w:numPr>
          <w:ilvl w:val="0"/>
          <w:numId w:val="1006"/>
        </w:numPr>
        <w:pStyle w:val="Compact"/>
      </w:pPr>
      <w:r>
        <w:rPr>
          <w:bCs/>
          <w:b/>
        </w:rPr>
        <w:t xml:space="preserve">Illustrative Energy Consumption in Use:</w:t>
      </w:r>
      <w:r>
        <w:t xml:space="preserve"> </w:t>
      </w:r>
      <w:r>
        <w:t xml:space="preserve">15 kWh/year</w:t>
      </w:r>
    </w:p>
    <w:p>
      <w:pPr>
        <w:numPr>
          <w:ilvl w:val="0"/>
          <w:numId w:val="1006"/>
        </w:numPr>
        <w:pStyle w:val="Compact"/>
      </w:pPr>
      <w:r>
        <w:rPr>
          <w:bCs/>
          <w:b/>
        </w:rPr>
        <w:t xml:space="preserve">Illustrative Electricity Emission Factor (Europe, for use phase):</w:t>
      </w:r>
      <w:r>
        <w:t xml:space="preserve"> </w:t>
      </w:r>
      <w:r>
        <w:t xml:space="preserve">0.25 kgCO2e/kWh (illustrative average for European grid)</w:t>
      </w:r>
    </w:p>
    <w:bookmarkEnd w:id="28"/>
    <w:bookmarkStart w:id="29" w:name="Xe1baf69c0f672507be3c9c52813674c8640f382"/>
    <w:p>
      <w:pPr>
        <w:pStyle w:val="Heading3"/>
      </w:pPr>
      <w:r>
        <w:t xml:space="preserve">2.5 End-of-Life (EoL) Phase (Downstream - Scope 3, Category 12)</w:t>
      </w:r>
    </w:p>
    <w:p>
      <w:pPr>
        <w:pStyle w:val="FirstParagraph"/>
      </w:pPr>
      <w:r>
        <w:t xml:space="preserve">The end-of-life treatment of yekpxnqyku accounts for disposal and recycling impacts. The parameters</w:t>
      </w:r>
      <w:r>
        <w:t xml:space="preserve"> </w:t>
      </w:r>
      <w:r>
        <w:rPr>
          <w:rStyle w:val="VerbatimChar"/>
        </w:rPr>
        <w:t xml:space="preserve">eeixruvirs</w:t>
      </w:r>
      <w:r>
        <w:t xml:space="preserve"> </w:t>
      </w:r>
      <w:r>
        <w:t xml:space="preserve">for recyclability percentage and</w:t>
      </w:r>
      <w:r>
        <w:t xml:space="preserve"> </w:t>
      </w:r>
      <w:r>
        <w:rPr>
          <w:rStyle w:val="VerbatimChar"/>
        </w:rPr>
        <w:t xml:space="preserve">hhqvqygtpk</w:t>
      </w:r>
      <w:r>
        <w:t xml:space="preserve"> </w:t>
      </w:r>
      <w:r>
        <w:t xml:space="preserve">for circular/take-back programs are placeholders. Illustrative values are used.</w:t>
      </w:r>
    </w:p>
    <w:p>
      <w:pPr>
        <w:numPr>
          <w:ilvl w:val="0"/>
          <w:numId w:val="1007"/>
        </w:numPr>
        <w:pStyle w:val="Compact"/>
      </w:pPr>
      <w:r>
        <w:rPr>
          <w:bCs/>
          <w:b/>
        </w:rPr>
        <w:t xml:space="preserve">Illustrative Recyclability Percentage:</w:t>
      </w:r>
      <w:r>
        <w:t xml:space="preserve"> </w:t>
      </w:r>
      <w:r>
        <w:t xml:space="preserve">60%</w:t>
      </w:r>
    </w:p>
    <w:p>
      <w:pPr>
        <w:numPr>
          <w:ilvl w:val="0"/>
          <w:numId w:val="1007"/>
        </w:numPr>
        <w:pStyle w:val="Compact"/>
      </w:pPr>
      <w:r>
        <w:rPr>
          <w:bCs/>
          <w:b/>
        </w:rPr>
        <w:t xml:space="preserve">Illustrative Circular/Take-back Programs:</w:t>
      </w:r>
      <w:r>
        <w:t xml:space="preserve"> </w:t>
      </w:r>
      <w:r>
        <w:t xml:space="preserve">Yes, an established regional take-back initiative for electronics exists.</w:t>
      </w:r>
    </w:p>
    <w:p>
      <w:pPr>
        <w:numPr>
          <w:ilvl w:val="0"/>
          <w:numId w:val="1007"/>
        </w:numPr>
        <w:pStyle w:val="Compact"/>
      </w:pPr>
      <w:r>
        <w:rPr>
          <w:bCs/>
          <w:b/>
        </w:rPr>
        <w:t xml:space="preserve">Illustrative Waste to Landfill Emission Factor:</w:t>
      </w:r>
      <w:r>
        <w:t xml:space="preserve"> </w:t>
      </w:r>
      <w:r>
        <w:t xml:space="preserve">0.5 kgCO2e/kg (illustrative for non-degradable waste)</w:t>
      </w:r>
    </w:p>
    <w:p>
      <w:pPr>
        <w:numPr>
          <w:ilvl w:val="0"/>
          <w:numId w:val="1007"/>
        </w:numPr>
        <w:pStyle w:val="Compact"/>
      </w:pPr>
      <w:r>
        <w:rPr>
          <w:bCs/>
          <w:b/>
        </w:rPr>
        <w:t xml:space="preserve">Illustrative Recycling Process Emission Factor:</w:t>
      </w:r>
      <w:r>
        <w:t xml:space="preserve"> </w:t>
      </w:r>
      <w:r>
        <w:t xml:space="preserve">0.1 kgCO2e/kg (illustrative, for collection, sorting, and reprocessing energy)</w:t>
      </w:r>
    </w:p>
    <w:p>
      <w:r>
        <w:pict>
          <v:rect style="width:0;height:1.5pt" o:hralign="center" o:hrstd="t" o:hr="t"/>
        </w:pict>
      </w:r>
    </w:p>
    <w:bookmarkEnd w:id="29"/>
    <w:bookmarkEnd w:id="30"/>
    <w:bookmarkStart w:id="38" w:name="emission-calculation"/>
    <w:p>
      <w:pPr>
        <w:pStyle w:val="Heading2"/>
      </w:pPr>
      <w:r>
        <w:t xml:space="preserve">4. Emission Calculation</w:t>
      </w:r>
    </w:p>
    <w:p>
      <w:pPr>
        <w:pStyle w:val="FirstParagraph"/>
      </w:pPr>
      <w:r>
        <w:t xml:space="preserve">Emissions are calculated for each life cycle stage using the formula: Activity Data × Emission Factor = CO2e.</w:t>
      </w:r>
    </w:p>
    <w:bookmarkStart w:id="31" w:name="X5bcf5600b2024480fc9eb7b22d9e22ded81272b"/>
    <w:p>
      <w:pPr>
        <w:pStyle w:val="Heading3"/>
      </w:pPr>
      <w:r>
        <w:t xml:space="preserve">4.1 Material Acquisition and Pre-processing (Scope 3, Category 1)</w:t>
      </w:r>
    </w:p>
    <w:p>
      <w:pPr>
        <w:pStyle w:val="FirstParagraph"/>
      </w:pPr>
      <w:r>
        <w:t xml:space="preserve">Based on the illustrative BOM data:</w:t>
      </w:r>
    </w:p>
    <w:p>
      <w:pPr>
        <w:pStyle w:val="BodyText"/>
      </w:pPr>
      <w:r>
        <w:t xml:space="preserve">Total Material Carbon Footprint = 5.55 kgCO2e</w:t>
      </w:r>
    </w:p>
    <w:bookmarkEnd w:id="31"/>
    <w:bookmarkStart w:id="32" w:name="production-phase-china---factory-gate"/>
    <w:p>
      <w:pPr>
        <w:pStyle w:val="Heading3"/>
      </w:pPr>
      <w:r>
        <w:t xml:space="preserve">4.2 Production Phase (China - Factory Gate)</w:t>
      </w:r>
    </w:p>
    <w:p>
      <w:pPr>
        <w:numPr>
          <w:ilvl w:val="0"/>
          <w:numId w:val="1008"/>
        </w:numPr>
        <w:pStyle w:val="Compact"/>
      </w:pPr>
      <w:r>
        <w:rPr>
          <w:bCs/>
          <w:b/>
        </w:rPr>
        <w:t xml:space="preserve">Total Energy Consumption:</w:t>
      </w:r>
      <w:r>
        <w:t xml:space="preserve"> </w:t>
      </w:r>
      <w:r>
        <w:t xml:space="preserve">8.5 kWh/unit</w:t>
      </w:r>
    </w:p>
    <w:p>
      <w:pPr>
        <w:numPr>
          <w:ilvl w:val="0"/>
          <w:numId w:val="1008"/>
        </w:numPr>
        <w:pStyle w:val="Compact"/>
      </w:pPr>
      <w:r>
        <w:rPr>
          <w:bCs/>
          <w:b/>
        </w:rPr>
        <w:t xml:space="preserve">Renewable Energy Used:</w:t>
      </w:r>
      <w:r>
        <w:t xml:space="preserve"> </w:t>
      </w:r>
      <w:r>
        <w:t xml:space="preserve">8.5 kWh * 40% = 3.4 kWh</w:t>
      </w:r>
    </w:p>
    <w:p>
      <w:pPr>
        <w:numPr>
          <w:ilvl w:val="0"/>
          <w:numId w:val="1008"/>
        </w:numPr>
        <w:pStyle w:val="Compact"/>
      </w:pPr>
      <w:r>
        <w:rPr>
          <w:bCs/>
          <w:b/>
        </w:rPr>
        <w:t xml:space="preserve">Grid Electricity Consumed:</w:t>
      </w:r>
      <w:r>
        <w:t xml:space="preserve"> </w:t>
      </w:r>
      <w:r>
        <w:t xml:space="preserve">8.5 kWh * (1 - 40%) = 5.1 kWh</w:t>
      </w:r>
    </w:p>
    <w:p>
      <w:pPr>
        <w:numPr>
          <w:ilvl w:val="0"/>
          <w:numId w:val="1008"/>
        </w:numPr>
        <w:pStyle w:val="Compact"/>
      </w:pPr>
      <w:r>
        <w:rPr>
          <w:bCs/>
          <w:b/>
        </w:rPr>
        <w:t xml:space="preserve">Emissions from Grid Electricity (Scope 2):</w:t>
      </w:r>
      <w:r>
        <w:t xml:space="preserve"> </w:t>
      </w:r>
      <w:r>
        <w:t xml:space="preserve">5.1 kWh * 0.6 kgCO2e/kWh = 3.06 kgCO2e</w:t>
      </w:r>
    </w:p>
    <w:p>
      <w:pPr>
        <w:numPr>
          <w:ilvl w:val="0"/>
          <w:numId w:val="1008"/>
        </w:numPr>
        <w:pStyle w:val="Compact"/>
      </w:pPr>
      <w:r>
        <w:rPr>
          <w:bCs/>
          <w:b/>
        </w:rPr>
        <w:t xml:space="preserve">Emissions from Renewable Energy (Scope 1/3 - assumed zero direct):</w:t>
      </w:r>
      <w:r>
        <w:t xml:space="preserve"> </w:t>
      </w:r>
      <w:r>
        <w:t xml:space="preserve">3.4 kWh * 0 kgCO2e/kWh = 0 kgCO2e</w:t>
      </w:r>
    </w:p>
    <w:p>
      <w:pPr>
        <w:pStyle w:val="FirstParagraph"/>
      </w:pPr>
      <w:r>
        <w:rPr>
          <w:bCs/>
          <w:b/>
        </w:rPr>
        <w:t xml:space="preserve">Total Production Phase Emissions: 3.06 kgCO2e</w:t>
      </w:r>
    </w:p>
    <w:bookmarkEnd w:id="32"/>
    <w:bookmarkStart w:id="35" w:name="Xed2f5a6296f12bea3d7084530c5e70861fe9d88"/>
    <w:p>
      <w:pPr>
        <w:pStyle w:val="Heading3"/>
      </w:pPr>
      <w:r>
        <w:t xml:space="preserve">4.3 Transportation Emissions (Scope 3, Categories 4 &amp; 9)</w:t>
      </w:r>
    </w:p>
    <w:bookmarkStart w:id="33" w:name="upstream-transport-ocean-freight"/>
    <w:p>
      <w:pPr>
        <w:pStyle w:val="Heading4"/>
      </w:pPr>
      <w:r>
        <w:t xml:space="preserve">Upstream Transport (Ocean Freight)</w:t>
      </w:r>
    </w:p>
    <w:p>
      <w:pPr>
        <w:numPr>
          <w:ilvl w:val="0"/>
          <w:numId w:val="1009"/>
        </w:numPr>
        <w:pStyle w:val="Compact"/>
      </w:pPr>
      <w:r>
        <w:rPr>
          <w:bCs/>
          <w:b/>
        </w:rPr>
        <w:t xml:space="preserve">Mass:</w:t>
      </w:r>
      <w:r>
        <w:t xml:space="preserve"> </w:t>
      </w:r>
      <w:r>
        <w:t xml:space="preserve">0.8 kg = 0.0008 tonnes</w:t>
      </w:r>
    </w:p>
    <w:p>
      <w:pPr>
        <w:numPr>
          <w:ilvl w:val="0"/>
          <w:numId w:val="1009"/>
        </w:numPr>
        <w:pStyle w:val="Compact"/>
      </w:pPr>
      <w:r>
        <w:rPr>
          <w:bCs/>
          <w:b/>
        </w:rPr>
        <w:t xml:space="preserve">Distance:</w:t>
      </w:r>
      <w:r>
        <w:t xml:space="preserve"> </w:t>
      </w:r>
      <w:r>
        <w:t xml:space="preserve">12,000 km</w:t>
      </w:r>
    </w:p>
    <w:p>
      <w:pPr>
        <w:numPr>
          <w:ilvl w:val="0"/>
          <w:numId w:val="1009"/>
        </w:numPr>
        <w:pStyle w:val="Compact"/>
      </w:pPr>
      <w:r>
        <w:rPr>
          <w:bCs/>
          <w:b/>
        </w:rPr>
        <w:t xml:space="preserve">Emissions:</w:t>
      </w:r>
      <w:r>
        <w:t xml:space="preserve"> </w:t>
      </w:r>
      <w:r>
        <w:t xml:space="preserve">0.0008 tonnes * 12,000 km * 0.016 kgCO2e/tonne-km = 0.1536 kgCO2e</w:t>
      </w:r>
    </w:p>
    <w:bookmarkEnd w:id="33"/>
    <w:bookmarkStart w:id="34" w:name="downstream-transport-road---last-mile"/>
    <w:p>
      <w:pPr>
        <w:pStyle w:val="Heading4"/>
      </w:pPr>
      <w:r>
        <w:t xml:space="preserve">Downstream Transport (Road - Last-Mile)</w:t>
      </w:r>
    </w:p>
    <w:p>
      <w:pPr>
        <w:numPr>
          <w:ilvl w:val="0"/>
          <w:numId w:val="1010"/>
        </w:numPr>
        <w:pStyle w:val="Compact"/>
      </w:pPr>
      <w:r>
        <w:rPr>
          <w:bCs/>
          <w:b/>
        </w:rPr>
        <w:t xml:space="preserve">Mass:</w:t>
      </w:r>
      <w:r>
        <w:t xml:space="preserve"> </w:t>
      </w:r>
      <w:r>
        <w:t xml:space="preserve">0.8 kg = 0.0008 tonnes</w:t>
      </w:r>
    </w:p>
    <w:p>
      <w:pPr>
        <w:numPr>
          <w:ilvl w:val="0"/>
          <w:numId w:val="1010"/>
        </w:numPr>
        <w:pStyle w:val="Compact"/>
      </w:pPr>
      <w:r>
        <w:rPr>
          <w:bCs/>
          <w:b/>
        </w:rPr>
        <w:t xml:space="preserve">Distance:</w:t>
      </w:r>
      <w:r>
        <w:t xml:space="preserve"> </w:t>
      </w:r>
      <w:r>
        <w:t xml:space="preserve">500 km</w:t>
      </w:r>
    </w:p>
    <w:p>
      <w:pPr>
        <w:numPr>
          <w:ilvl w:val="0"/>
          <w:numId w:val="1010"/>
        </w:numPr>
        <w:pStyle w:val="Compact"/>
      </w:pPr>
      <w:r>
        <w:rPr>
          <w:bCs/>
          <w:b/>
        </w:rPr>
        <w:t xml:space="preserve">Emissions:</w:t>
      </w:r>
      <w:r>
        <w:t xml:space="preserve"> </w:t>
      </w:r>
      <w:r>
        <w:t xml:space="preserve">0.0008 tonnes * 500 km * 0.2 kgCO2e/tonne-km = 0.08 kgCO2e</w:t>
      </w:r>
    </w:p>
    <w:p>
      <w:pPr>
        <w:pStyle w:val="FirstParagraph"/>
      </w:pPr>
      <w:r>
        <w:rPr>
          <w:bCs/>
          <w:b/>
        </w:rPr>
        <w:t xml:space="preserve">Total Transportation Emissions: 0.1536 kgCO2e + 0.08 kgCO2e = 0.2336 kgCO2e</w:t>
      </w:r>
    </w:p>
    <w:bookmarkEnd w:id="34"/>
    <w:bookmarkEnd w:id="35"/>
    <w:bookmarkStart w:id="36" w:name="use-phase-emissions-scope-3-category-11"/>
    <w:p>
      <w:pPr>
        <w:pStyle w:val="Heading3"/>
      </w:pPr>
      <w:r>
        <w:t xml:space="preserve">4.4 Use Phase Emissions (Scope 3, Category 11)</w:t>
      </w:r>
    </w:p>
    <w:p>
      <w:pPr>
        <w:numPr>
          <w:ilvl w:val="0"/>
          <w:numId w:val="1011"/>
        </w:numPr>
        <w:pStyle w:val="Compact"/>
      </w:pPr>
      <w:r>
        <w:rPr>
          <w:bCs/>
          <w:b/>
        </w:rPr>
        <w:t xml:space="preserve">Total Energy Consumption over Lifespan:</w:t>
      </w:r>
      <w:r>
        <w:t xml:space="preserve"> </w:t>
      </w:r>
      <w:r>
        <w:t xml:space="preserve">15 kWh/year * 7 years = 105 kWh</w:t>
      </w:r>
    </w:p>
    <w:p>
      <w:pPr>
        <w:numPr>
          <w:ilvl w:val="0"/>
          <w:numId w:val="1011"/>
        </w:numPr>
        <w:pStyle w:val="Compact"/>
      </w:pPr>
      <w:r>
        <w:rPr>
          <w:bCs/>
          <w:b/>
        </w:rPr>
        <w:t xml:space="preserve">Emissions:</w:t>
      </w:r>
      <w:r>
        <w:t xml:space="preserve"> </w:t>
      </w:r>
      <w:r>
        <w:t xml:space="preserve">105 kWh * 0.25 kgCO2e/kWh = 26.25 kgCO2e</w:t>
      </w:r>
    </w:p>
    <w:p>
      <w:pPr>
        <w:pStyle w:val="FirstParagraph"/>
      </w:pPr>
      <w:r>
        <w:rPr>
          <w:bCs/>
          <w:b/>
        </w:rPr>
        <w:t xml:space="preserve">Total Use Phase Emissions: 26.25 kgCO2e</w:t>
      </w:r>
    </w:p>
    <w:bookmarkEnd w:id="36"/>
    <w:bookmarkStart w:id="37" w:name="Xbb418487dd7cda9440b041b0bddba3a7ee359ea"/>
    <w:p>
      <w:pPr>
        <w:pStyle w:val="Heading3"/>
      </w:pPr>
      <w:r>
        <w:t xml:space="preserve">4.5 End-of-Life (EoL) Emissions (Scope 3, Category 12)</w:t>
      </w:r>
    </w:p>
    <w:p>
      <w:pPr>
        <w:numPr>
          <w:ilvl w:val="0"/>
          <w:numId w:val="1012"/>
        </w:numPr>
        <w:pStyle w:val="Compact"/>
      </w:pPr>
      <w:r>
        <w:rPr>
          <w:bCs/>
          <w:b/>
        </w:rPr>
        <w:t xml:space="preserve">Product Weight:</w:t>
      </w:r>
      <w:r>
        <w:t xml:space="preserve"> </w:t>
      </w:r>
      <w:r>
        <w:t xml:space="preserve">0.8 kg</w:t>
      </w:r>
    </w:p>
    <w:p>
      <w:pPr>
        <w:numPr>
          <w:ilvl w:val="0"/>
          <w:numId w:val="1012"/>
        </w:numPr>
        <w:pStyle w:val="Compact"/>
      </w:pPr>
      <w:r>
        <w:rPr>
          <w:bCs/>
          <w:b/>
        </w:rPr>
        <w:t xml:space="preserve">Weight to Landfill:</w:t>
      </w:r>
      <w:r>
        <w:t xml:space="preserve"> </w:t>
      </w:r>
      <w:r>
        <w:t xml:space="preserve">0.8 kg * (1 - 60%) = 0.32 kg</w:t>
      </w:r>
    </w:p>
    <w:p>
      <w:pPr>
        <w:numPr>
          <w:ilvl w:val="0"/>
          <w:numId w:val="1012"/>
        </w:numPr>
        <w:pStyle w:val="Compact"/>
      </w:pPr>
      <w:r>
        <w:rPr>
          <w:bCs/>
          <w:b/>
        </w:rPr>
        <w:t xml:space="preserve">Weight for Recycling:</w:t>
      </w:r>
      <w:r>
        <w:t xml:space="preserve"> </w:t>
      </w:r>
      <w:r>
        <w:t xml:space="preserve">0.8 kg * 60% = 0.48 kg</w:t>
      </w:r>
    </w:p>
    <w:p>
      <w:pPr>
        <w:numPr>
          <w:ilvl w:val="0"/>
          <w:numId w:val="1012"/>
        </w:numPr>
        <w:pStyle w:val="Compact"/>
      </w:pPr>
      <w:r>
        <w:rPr>
          <w:bCs/>
          <w:b/>
        </w:rPr>
        <w:t xml:space="preserve">Emissions from Landfill:</w:t>
      </w:r>
      <w:r>
        <w:t xml:space="preserve"> </w:t>
      </w:r>
      <w:r>
        <w:t xml:space="preserve">0.32 kg * 0.5 kgCO2e/kg = 0.16 kgCO2e</w:t>
      </w:r>
    </w:p>
    <w:p>
      <w:pPr>
        <w:numPr>
          <w:ilvl w:val="0"/>
          <w:numId w:val="1012"/>
        </w:numPr>
        <w:pStyle w:val="Compact"/>
      </w:pPr>
      <w:r>
        <w:rPr>
          <w:bCs/>
          <w:b/>
        </w:rPr>
        <w:t xml:space="preserve">Emissions from Recycling Process:</w:t>
      </w:r>
      <w:r>
        <w:t xml:space="preserve"> </w:t>
      </w:r>
      <w:r>
        <w:t xml:space="preserve">0.48 kg * 0.1 kgCO2e/kg = 0.048 kgCO2e</w:t>
      </w:r>
    </w:p>
    <w:p>
      <w:pPr>
        <w:pStyle w:val="FirstParagraph"/>
      </w:pPr>
      <w:r>
        <w:rPr>
          <w:bCs/>
          <w:b/>
        </w:rPr>
        <w:t xml:space="preserve">Total End-of-Life Emissions: 0.16 kgCO2e + 0.048 kgCO2e = 0.208 kgCO2e</w:t>
      </w:r>
    </w:p>
    <w:p>
      <w:r>
        <w:pict>
          <v:rect style="width:0;height:1.5pt" o:hralign="center" o:hrstd="t" o:hr="t"/>
        </w:pict>
      </w:r>
    </w:p>
    <w:bookmarkEnd w:id="37"/>
    <w:bookmarkEnd w:id="38"/>
    <w:bookmarkStart w:id="39" w:name="X20b661f61d4e66c41b5c40531359b4f81ea2ad4"/>
    <w:p>
      <w:pPr>
        <w:pStyle w:val="Heading2"/>
      </w:pPr>
      <w:r>
        <w:t xml:space="preserve">Total Product Carbon Footprint Summary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Illustrative CO2e (kg)</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5.55</w:t>
            </w:r>
          </w:p>
        </w:tc>
        <w:tc>
          <w:tcPr/>
          <w:p>
            <w:pPr>
              <w:pStyle w:val="Compact"/>
              <w:jc w:val="left"/>
            </w:pPr>
            <w:r>
              <w:t xml:space="preserve">16.5%</w:t>
            </w:r>
          </w:p>
        </w:tc>
      </w:tr>
      <w:tr>
        <w:tc>
          <w:tcPr/>
          <w:p>
            <w:pPr>
              <w:pStyle w:val="Compact"/>
              <w:jc w:val="left"/>
            </w:pPr>
            <w:r>
              <w:t xml:space="preserve">Production Phase (Electricity)</w:t>
            </w:r>
          </w:p>
        </w:tc>
        <w:tc>
          <w:tcPr/>
          <w:p>
            <w:pPr>
              <w:pStyle w:val="Compact"/>
              <w:jc w:val="left"/>
            </w:pPr>
            <w:r>
              <w:t xml:space="preserve">Scope 2</w:t>
            </w:r>
          </w:p>
        </w:tc>
        <w:tc>
          <w:tcPr/>
          <w:p>
            <w:pPr>
              <w:pStyle w:val="Compact"/>
              <w:jc w:val="left"/>
            </w:pPr>
            <w:r>
              <w:t xml:space="preserve">3.06</w:t>
            </w:r>
          </w:p>
        </w:tc>
        <w:tc>
          <w:tcPr/>
          <w:p>
            <w:pPr>
              <w:pStyle w:val="Compact"/>
              <w:jc w:val="left"/>
            </w:pPr>
            <w:r>
              <w:t xml:space="preserve">9.1%</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0.23</w:t>
            </w:r>
          </w:p>
        </w:tc>
        <w:tc>
          <w:tcPr/>
          <w:p>
            <w:pPr>
              <w:pStyle w:val="Compact"/>
              <w:jc w:val="left"/>
            </w:pPr>
            <w:r>
              <w:t xml:space="preserve">0.7%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26.25</w:t>
            </w:r>
          </w:p>
        </w:tc>
        <w:tc>
          <w:tcPr/>
          <w:p>
            <w:pPr>
              <w:pStyle w:val="Compact"/>
              <w:jc w:val="left"/>
            </w:pPr>
            <w:r>
              <w:t xml:space="preserve">78.0%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0.21</w:t>
            </w:r>
          </w:p>
        </w:tc>
        <w:tc>
          <w:tcPr/>
          <w:p>
            <w:pPr>
              <w:pStyle w:val="Compact"/>
              <w:jc w:val="left"/>
            </w:pPr>
            <w:r>
              <w:t xml:space="preserve">0.6%</w:t>
            </w:r>
          </w:p>
        </w:tc>
      </w:tr>
      <w:tr>
        <w:tc>
          <w:tcPr/>
          <w:p>
            <w:pPr>
              <w:pStyle w:val="Compact"/>
              <w:jc w:val="left"/>
            </w:pPr>
            <w:r>
              <w:t xml:space="preserve">TOTAL ILLUSTRATIVE PCF</w:t>
            </w:r>
          </w:p>
        </w:tc>
        <w:tc>
          <w:tcPr/>
          <w:p>
            <w:pPr>
              <w:pStyle w:val="Compact"/>
            </w:pPr>
          </w:p>
        </w:tc>
        <w:tc>
          <w:tcPr/>
          <w:p>
            <w:pPr>
              <w:pStyle w:val="Compact"/>
              <w:jc w:val="left"/>
            </w:pPr>
            <w:r>
              <w:t xml:space="preserve">33.74</w:t>
            </w:r>
          </w:p>
        </w:tc>
        <w:tc>
          <w:tcPr/>
          <w:p>
            <w:pPr>
              <w:pStyle w:val="Compact"/>
              <w:jc w:val="left"/>
            </w:pPr>
            <w:r>
              <w:t xml:space="preserve">100%</w:t>
            </w:r>
          </w:p>
        </w:tc>
      </w:tr>
    </w:tbl>
    <w:p>
      <w:r>
        <w:pict>
          <v:rect style="width:0;height:1.5pt" o:hralign="center" o:hrstd="t" o:hr="t"/>
        </w:pict>
      </w:r>
    </w:p>
    <w:bookmarkEnd w:id="39"/>
    <w:bookmarkStart w:id="42"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this illustrative analysis for yekpxnqyku, the primary emission hotspot is identified in the</w:t>
      </w:r>
      <w:r>
        <w:t xml:space="preserve"> </w:t>
      </w:r>
      <w:r>
        <w:rPr>
          <w:bCs/>
          <w:b/>
        </w:rPr>
        <w:t xml:space="preserve">Use Phase</w:t>
      </w:r>
      <w:r>
        <w:t xml:space="preserve">, accounting for approximately 78.0% of the total product carbon footprint. This is predominantly driven by the energy consumption of the product over its illustrative 7-year lifespan. The Material Acquisition phase is the second most significant contributor at 16.5%, followed by the Production Phase (9.1%). Transportation and End-of-Life phases contribute relatively smaller percentages in this illustrative scenario.</w:t>
      </w:r>
    </w:p>
    <w:p>
      <w:pPr>
        <w:numPr>
          <w:ilvl w:val="0"/>
          <w:numId w:val="1013"/>
        </w:numPr>
        <w:pStyle w:val="Compact"/>
      </w:pPr>
      <w:r>
        <w:rPr>
          <w:bCs/>
          <w:b/>
        </w:rPr>
        <w:t xml:space="preserve">Use Phase (78.0%):</w:t>
      </w:r>
      <w:r>
        <w:t xml:space="preserve"> </w:t>
      </w:r>
      <w:r>
        <w:t xml:space="preserve">Dominated by energy consumption during the illustrative 7-year lifespan. This highlights the importance of energy efficiency in product design and educating consumers on sustainable usage.</w:t>
      </w:r>
    </w:p>
    <w:p>
      <w:pPr>
        <w:numPr>
          <w:ilvl w:val="0"/>
          <w:numId w:val="1013"/>
        </w:numPr>
        <w:pStyle w:val="Compact"/>
      </w:pPr>
      <w:r>
        <w:rPr>
          <w:bCs/>
          <w:b/>
        </w:rPr>
        <w:t xml:space="preserve">Material Acquisition (16.5%):</w:t>
      </w:r>
      <w:r>
        <w:t xml:space="preserve"> </w:t>
      </w:r>
      <w:r>
        <w:t xml:space="preserve">The selection of raw materials, particularly electronic components and aluminum, significantly impacts the footprint. Opportunities for reduction lie in sourcing lower-carbon materials, increasing recycled content, and optimizing material efficiency.</w:t>
      </w:r>
    </w:p>
    <w:p>
      <w:pPr>
        <w:numPr>
          <w:ilvl w:val="0"/>
          <w:numId w:val="1013"/>
        </w:numPr>
        <w:pStyle w:val="Compact"/>
      </w:pPr>
      <w:r>
        <w:rPr>
          <w:bCs/>
          <w:b/>
        </w:rPr>
        <w:t xml:space="preserve">Production Phase (9.1%):</w:t>
      </w:r>
      <w:r>
        <w:t xml:space="preserve"> </w:t>
      </w:r>
      <w:r>
        <w:t xml:space="preserve">Electricity consumption during manufacturing, even with 40% renewable energy usage, is notable. Increasing renewable energy procurement or on-site generation at the Chinese production facility would further reduce this impact.</w:t>
      </w:r>
    </w:p>
    <w:bookmarkEnd w:id="40"/>
    <w:bookmarkStart w:id="41" w:name="data-reliability-and-limitations"/>
    <w:p>
      <w:pPr>
        <w:pStyle w:val="Heading3"/>
      </w:pPr>
      <w:r>
        <w:t xml:space="preserve">5.2 Data Reliability and Limitations</w:t>
      </w:r>
    </w:p>
    <w:p>
      <w:pPr>
        <w:pStyle w:val="FirstParagraph"/>
      </w:pPr>
      <w:r>
        <w:t xml:space="preserve">As</w:t>
      </w:r>
      <w:r>
        <w:t xml:space="preserve"> </w:t>
      </w:r>
      <w:r>
        <w:rPr>
          <w:rStyle w:val="VerbatimChar"/>
        </w:rPr>
        <w:t xml:space="preserve">vsioyyfwnn</w:t>
      </w:r>
      <w:r>
        <w:t xml:space="preserve">, Senior Sustainability Consultant, I must highlight that the accuracy of this report is directly dependent on the quality and specificity of the input data. Due to the placeholder nature of several critical parameters (BOM, transport details, energy data, use-phase data, EoL scenarios) provided in the request, illustrative values have been used for all calculations. Therefore, the numerical results presented are indicative and serve primarily to demonstrate the methodology. For an accurate and auditable PCF, primary, supplier-specific data would be required for all stages of the life cycle.</w:t>
      </w:r>
    </w:p>
    <w:p>
      <w:pPr>
        <w:pStyle w:val="BodyText"/>
      </w:pPr>
      <w:r>
        <w:t xml:space="preserve">Specifically:</w:t>
      </w:r>
    </w:p>
    <w:p>
      <w:pPr>
        <w:numPr>
          <w:ilvl w:val="0"/>
          <w:numId w:val="1014"/>
        </w:numPr>
        <w:pStyle w:val="Compact"/>
      </w:pPr>
      <w:r>
        <w:rPr>
          <w:bCs/>
          <w:b/>
        </w:rPr>
        <w:t xml:space="preserve">BOM Data:</w:t>
      </w:r>
      <w:r>
        <w:t xml:space="preserve"> </w:t>
      </w:r>
      <w:r>
        <w:t xml:space="preserve">Illustrative emission factors were applied. High-accuracy calculation requires specific supplier EPDs or cradle-to-gate LCA data for each material and manufacturing process.</w:t>
      </w:r>
    </w:p>
    <w:p>
      <w:pPr>
        <w:numPr>
          <w:ilvl w:val="0"/>
          <w:numId w:val="1014"/>
        </w:numPr>
        <w:pStyle w:val="Compact"/>
      </w:pPr>
      <w:r>
        <w:rPr>
          <w:bCs/>
          <w:b/>
        </w:rPr>
        <w:t xml:space="preserve">Transport Data:</w:t>
      </w:r>
      <w:r>
        <w:t xml:space="preserve"> </w:t>
      </w:r>
      <w:r>
        <w:t xml:space="preserve">Illustrative modes, distances, and payloads were assumed. Actual logistics data (specific routes, carrier efficiencies, real-world load factors) would provide higher precision.</w:t>
      </w:r>
    </w:p>
    <w:p>
      <w:pPr>
        <w:numPr>
          <w:ilvl w:val="0"/>
          <w:numId w:val="1014"/>
        </w:numPr>
        <w:pStyle w:val="Compact"/>
      </w:pPr>
      <w:r>
        <w:rPr>
          <w:bCs/>
          <w:b/>
        </w:rPr>
        <w:t xml:space="preserve">Energy Data:</w:t>
      </w:r>
      <w:r>
        <w:t xml:space="preserve"> </w:t>
      </w:r>
      <w:r>
        <w:t xml:space="preserve">Illustrative renewable energy penetration and intensity were used. Actual grid mix and energy consumption data from the production facility are crucial.</w:t>
      </w:r>
    </w:p>
    <w:p>
      <w:pPr>
        <w:numPr>
          <w:ilvl w:val="0"/>
          <w:numId w:val="1014"/>
        </w:numPr>
        <w:pStyle w:val="Compact"/>
      </w:pPr>
      <w:r>
        <w:rPr>
          <w:bCs/>
          <w:b/>
        </w:rPr>
        <w:t xml:space="preserve">Use Phase Data:</w:t>
      </w:r>
      <w:r>
        <w:t xml:space="preserve"> </w:t>
      </w:r>
      <w:r>
        <w:t xml:space="preserve">Illustrative lifespan and consumption were used. Real-world usage patterns can vary significantly.</w:t>
      </w:r>
    </w:p>
    <w:p>
      <w:pPr>
        <w:numPr>
          <w:ilvl w:val="0"/>
          <w:numId w:val="1014"/>
        </w:numPr>
        <w:pStyle w:val="Compact"/>
      </w:pPr>
      <w:r>
        <w:rPr>
          <w:bCs/>
          <w:b/>
        </w:rPr>
        <w:t xml:space="preserve">End-of-Life Data:</w:t>
      </w:r>
      <w:r>
        <w:t xml:space="preserve"> </w:t>
      </w:r>
      <w:r>
        <w:t xml:space="preserve">Illustrative recyclability and EoL processing factors were assumed. Actual end-of-life pathways and their efficiencies can differ by region and waste management infrastructure.</w:t>
      </w:r>
    </w:p>
    <w:p>
      <w:pPr>
        <w:pStyle w:val="FirstParagraph"/>
      </w:pPr>
      <w:r>
        <w:t xml:space="preserve">Despite these limitations, the methodology adheres strictly to the GHG Protocol and incorporates the latest considerations from the 2026 LSR Standard (effective Jan 1, 2027) and proposed Scope 3 reporting requirements, making it a robust framework for future, more data-rich analyses.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yekpxnqyku</dc:title>
  <dc:creator/>
  <dc:description>High-detail Product Carbon Footprint (PCF) analysis for yekpxnqyku by dinquwohxy, adhering to GHG Protocol standards and 2026 updates.</dc:description>
  <dc:language>en</dc:language>
  <cp:keywords/>
  <dcterms:created xsi:type="dcterms:W3CDTF">2026-07-15T10:38:02Z</dcterms:created>
  <dcterms:modified xsi:type="dcterms:W3CDTF">2026-07-15T10:38:02Z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