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yejeojesid</w:t>
      </w:r>
      <w:r>
        <w:t xml:space="preserve"> </w:t>
      </w:r>
      <w:r>
        <w:t xml:space="preserve">-</w:t>
      </w:r>
      <w:r>
        <w:t xml:space="preserve"> </w:t>
      </w:r>
      <w:r>
        <w:t xml:space="preserve">hojvispnkv</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t xml:space="preserve">Product: yejeojesid</w:t>
      </w:r>
    </w:p>
    <w:p>
      <w:pPr>
        <w:pStyle w:val="BodyText"/>
      </w:pPr>
      <w:r>
        <w:t xml:space="preserve">Company: hojvispnkv</w:t>
      </w:r>
    </w:p>
    <w:p>
      <w:pPr>
        <w:pStyle w:val="BodyText"/>
      </w:pPr>
      <w:r>
        <w:t xml:space="preserve">Accounting Standard: GHG Protocol</w:t>
      </w:r>
    </w:p>
    <w:p>
      <w:pPr>
        <w:pStyle w:val="BodyText"/>
      </w:pPr>
      <w:r>
        <w:t xml:space="preserve">Senior Sustainability Consultant: rgvqxxxzzx</w:t>
      </w:r>
    </w:p>
    <w:p>
      <w:pPr>
        <w:pStyle w:val="BodyText"/>
      </w:pPr>
      <w:r>
        <w:t xml:space="preserve">This report is generated based on available data and industry standards. Assumptions for placeholder data are explicitly stated within the report.</w:t>
      </w:r>
    </w:p>
    <w:bookmarkEnd w:id="20"/>
    <w:bookmarkStart w:id="22" w:name="product-carbon-footprint-report"/>
    <w:p>
      <w:pPr>
        <w:pStyle w:val="Heading1"/>
      </w:pPr>
      <w:r>
        <w:t xml:space="preserve">Product Carbon Footprint Report</w:t>
      </w:r>
    </w:p>
    <w:bookmarkStart w:id="21" w:name="for-yejeojesid"/>
    <w:p>
      <w:pPr>
        <w:pStyle w:val="Heading2"/>
      </w:pPr>
      <w:r>
        <w:t xml:space="preserve">for yejeojesid</w:t>
      </w:r>
    </w:p>
    <w:p>
      <w:pPr>
        <w:pStyle w:val="FirstParagraph"/>
      </w:pPr>
      <w:r>
        <w:t xml:space="preserve">Generated Date: May 22, 2026</w:t>
      </w:r>
    </w:p>
    <w:bookmarkEnd w:id="21"/>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 "yejeojesid", manufactured by "hojvispnkv". The analysis adheres to the Greenhouse Gas (GHG) Protocol standards, including the 2026 Land Sector and Removals (LSR) Standard update. As Senior Sustainability Consultant rgvqxxxzzx, this assessment provides a comprehensive overview of the product\'s environmental impact across its lifecycle, identifying key emission hotspots and offering insights for sustainability improvements. The total carbon footprint of one functional unit of yejeojesid is calculated, categorized by Scope 1, 2, and 3 emissions, ensuring at least 95% coverage for Scope 3 reporting.</w:t>
      </w:r>
    </w:p>
    <w:bookmarkEnd w:id="23"/>
    <w:p>
      <w:r>
        <w:pict>
          <v:rect style="width:0;height:1.5pt" o:hralign="center" o:hrstd="t" o:hr="t"/>
        </w:pict>
      </w:r>
    </w:p>
    <w:bookmarkStart w:id="30" w:name="methodology"/>
    <w:p>
      <w:pPr>
        <w:pStyle w:val="Heading2"/>
      </w:pPr>
      <w:r>
        <w:t xml:space="preserve">2. Methodology</w:t>
      </w:r>
    </w:p>
    <w:p>
      <w:pPr>
        <w:pStyle w:val="FirstParagraph"/>
      </w:pPr>
      <w:r>
        <w:t xml:space="preserve">The Product Carbon Footprint (PCF) analysis was conducted following the five-step methodology prescribed by the GHG Protocol:</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"yejeojesid". This serves as the reference flow for all calculations, allowing for consistent comparison of environmental impacts.</w:t>
      </w:r>
    </w:p>
    <w:p>
      <w:pPr>
        <w:numPr>
          <w:ilvl w:val="1"/>
          <w:numId w:val="1002"/>
        </w:numPr>
        <w:pStyle w:val="Compact"/>
      </w:pPr>
      <w:r>
        <w:rPr>
          <w:bCs/>
          <w:b/>
        </w:rPr>
        <w:t xml:space="preserve">System Boundary:</w:t>
      </w:r>
      <w:r>
        <w:t xml:space="preserve"> </w:t>
      </w:r>
      <w:r>
        <w:t xml:space="preserve">factory_gate. This "cradle-to-gate" approach focuses on emissions from raw material acquisition, pre-processing, and manufacturing up to the point the product leaves the factory gate. However, per the prompt\'s requirements, the analysis is extended to include transport, use phase, and end-of-life to provide a more holistic "cradle-to-grave" perspective.</w:t>
      </w:r>
    </w:p>
    <w:p>
      <w:pPr>
        <w:numPr>
          <w:ilvl w:val="1"/>
          <w:numId w:val="1002"/>
        </w:numPr>
        <w:pStyle w:val="Compact"/>
      </w:pPr>
      <w:r>
        <w:rPr>
          <w:bCs/>
          <w:b/>
        </w:rPr>
        <w:t xml:space="preserve">Geographic Scope:</w:t>
      </w:r>
      <w:r>
        <w:t xml:space="preserve"> </w:t>
      </w:r>
      <w:r>
        <w:t xml:space="preserve">Final Production Country: China. Supply Chain Focus: Europe Focused. This implies primary material sourcing from Europe and manufacturing in China, followed by distribution.</w:t>
      </w:r>
    </w:p>
    <w:p>
      <w:pPr>
        <w:numPr>
          <w:ilvl w:val="1"/>
          <w:numId w:val="1002"/>
        </w:numPr>
        <w:pStyle w:val="Compact"/>
      </w:pPr>
      <w:r>
        <w:rPr>
          <w:bCs/>
          <w:b/>
        </w:rPr>
        <w:t xml:space="preserve">Allocation:</w:t>
      </w:r>
      <w:r>
        <w:t xml:space="preserve"> </w:t>
      </w:r>
      <w:r>
        <w:t xml:space="preserve">Given the focus on a single product, direct attribution of emissions to the functional unit is applied across all lifecycle stages.</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"yejeojesid" is mapped into the following stages, with emissions categorized according to the GHG Protocol\'s Scope 1, 2, and 3 definitions:</w:t>
      </w:r>
    </w:p>
    <w:p>
      <w:pPr>
        <w:numPr>
          <w:ilvl w:val="1"/>
          <w:numId w:val="1003"/>
        </w:numPr>
        <w:pStyle w:val="Compact"/>
      </w:pPr>
      <w:r>
        <w:rPr>
          <w:bCs/>
          <w:b/>
        </w:rPr>
        <w:t xml:space="preserve">Material Acquisition &amp; Pre-processing:</w:t>
      </w:r>
      <w:r>
        <w:t xml:space="preserve"> </w:t>
      </w:r>
      <w:r>
        <w:t xml:space="preserve">This stage includes the extraction of raw materials and their transformation into usable forms, such as the production of metals, plastics, and electronic components. These are primarily classified as Scope 3 (Upstream) emissions, specifically Category 1 (Purchased goods and services).</w:t>
      </w:r>
    </w:p>
    <w:p>
      <w:pPr>
        <w:numPr>
          <w:ilvl w:val="1"/>
          <w:numId w:val="1003"/>
        </w:numPr>
        <w:pStyle w:val="Compact"/>
      </w:pPr>
      <w:r>
        <w:rPr>
          <w:bCs/>
          <w:b/>
        </w:rPr>
        <w:t xml:space="preserve">Production:</w:t>
      </w:r>
      <w:r>
        <w:t xml:space="preserve"> </w:t>
      </w:r>
      <w:r>
        <w:t xml:space="preserve">Encompasses the manufacturing processes at the "hojvispnkv" facility in China, including energy consumption, direct emissions from owned or controlled sources, and waste generation.</w:t>
      </w:r>
    </w:p>
    <w:p>
      <w:pPr>
        <w:numPr>
          <w:ilvl w:val="2"/>
          <w:numId w:val="1004"/>
        </w:numPr>
        <w:pStyle w:val="Compact"/>
      </w:pPr>
      <w:r>
        <w:rPr>
          <w:bCs/>
          <w:b/>
        </w:rPr>
        <w:t xml:space="preserve">Scope 1:</w:t>
      </w:r>
      <w:r>
        <w:t xml:space="preserve"> </w:t>
      </w:r>
      <w:r>
        <w:t xml:space="preserve">Direct emissions from sources owned or controlled by hojvispnkv (e.g., on-site fuel combustion).</w:t>
      </w:r>
    </w:p>
    <w:p>
      <w:pPr>
        <w:numPr>
          <w:ilvl w:val="2"/>
          <w:numId w:val="1004"/>
        </w:numPr>
        <w:pStyle w:val="Compact"/>
      </w:pPr>
      <w:r>
        <w:rPr>
          <w:bCs/>
          <w:b/>
        </w:rPr>
        <w:t xml:space="preserve">Scope 2:</w:t>
      </w:r>
      <w:r>
        <w:t xml:space="preserve"> </w:t>
      </w:r>
      <w:r>
        <w:t xml:space="preserve">Indirect emissions from the generation of purchased electricity, heat, or steam consumed by hojvispnkv.</w:t>
      </w:r>
    </w:p>
    <w:p>
      <w:pPr>
        <w:numPr>
          <w:ilvl w:val="1"/>
          <w:numId w:val="1003"/>
        </w:numPr>
        <w:pStyle w:val="Compact"/>
      </w:pPr>
      <w:r>
        <w:rPr>
          <w:bCs/>
          <w:b/>
        </w:rPr>
        <w:t xml:space="preserve">Transport:</w:t>
      </w:r>
      <w:r>
        <w:t xml:space="preserve"> </w:t>
      </w:r>
      <w:r>
        <w:t xml:space="preserve">Covers the logistics of moving materials to the factory (upstream) and the finished product to the customer (downstream). These fall under Scope 3, specifically Category 4 (Upstream transportation and distribution) and Category 9 (Downstream transportation and distribution).</w:t>
      </w:r>
    </w:p>
    <w:p>
      <w:pPr>
        <w:numPr>
          <w:ilvl w:val="1"/>
          <w:numId w:val="1003"/>
        </w:numPr>
        <w:pStyle w:val="Compact"/>
      </w:pPr>
      <w:r>
        <w:rPr>
          <w:bCs/>
          <w:b/>
        </w:rPr>
        <w:t xml:space="preserve">Use Phase:</w:t>
      </w:r>
      <w:r>
        <w:t xml:space="preserve"> </w:t>
      </w:r>
      <w:r>
        <w:t xml:space="preserve">Accounts for emissions generated during the product\'s active lifespan by the end-user. This is a Scope 3 (Downstream) emission, Category 11 (Use of sold products).</w:t>
      </w:r>
    </w:p>
    <w:p>
      <w:pPr>
        <w:numPr>
          <w:ilvl w:val="1"/>
          <w:numId w:val="1003"/>
        </w:numPr>
        <w:pStyle w:val="Compact"/>
      </w:pPr>
      <w:r>
        <w:rPr>
          <w:bCs/>
          <w:b/>
        </w:rPr>
        <w:t xml:space="preserve">End-of-Life (EoL):</w:t>
      </w:r>
      <w:r>
        <w:t xml:space="preserve"> </w:t>
      </w:r>
      <w:r>
        <w:t xml:space="preserve">Addresses the emissions associated with the disposal or recycling of the product after its useful life. This is a Scope 3 (Downstream) emission, Category 12 (End-of-life treatment of sold products).</w:t>
      </w:r>
    </w:p>
    <w:p>
      <w:pPr>
        <w:numPr>
          <w:ilvl w:val="0"/>
          <w:numId w:val="1000"/>
        </w:numPr>
      </w:pPr>
      <w:r>
        <w:t xml:space="preserve">The</w:t>
      </w:r>
      <w:r>
        <w:t xml:space="preserve"> </w:t>
      </w:r>
      <w:r>
        <w:rPr>
          <w:bCs/>
          <w:b/>
        </w:rPr>
        <w:t xml:space="preserve">2026 LSR Update</w:t>
      </w:r>
      <w:r>
        <w:t xml:space="preserve"> </w:t>
      </w:r>
      <w:r>
        <w:t xml:space="preserve">(Land Sector and Removals Standard v1.0, effective January 1, 2027) is applied, providing methods to quantify, report, and track land emissions and CO2 removals, as well as technological CO2 removals. While this product\'s lifecycle may not have significant direct land-use impacts, the standard\'s principles for consistent reporting and integration of removals are considered.</w:t>
      </w:r>
    </w:p>
    <w:p>
      <w:pPr>
        <w:numPr>
          <w:ilvl w:val="0"/>
          <w:numId w:val="1001"/>
        </w:numPr>
        <w:pStyle w:val="Heading3"/>
      </w:pPr>
      <w:bookmarkStart w:id="26" w:name="collect-data"/>
      <w:r>
        <w:t xml:space="preserve">Collect Data</w:t>
      </w:r>
      <w:bookmarkEnd w:id="26"/>
    </w:p>
    <w:p>
      <w:pPr>
        <w:numPr>
          <w:ilvl w:val="0"/>
          <w:numId w:val="1000"/>
        </w:numPr>
      </w:pPr>
      <w:r>
        <w:t xml:space="preserve">Both primary and secondary data points were collected. Primary data are represented by the provided parameters, while secondary data, particularly for emission factors, are sourced from industry-standard databases like Ecoinvent and DEFRA, where specific values were not provided.</w:t>
      </w:r>
    </w:p>
    <w:p>
      <w:pPr>
        <w:numPr>
          <w:ilvl w:val="0"/>
          <w:numId w:val="1000"/>
        </w:numPr>
        <w:pStyle w:val="Heading4"/>
      </w:pPr>
      <w:bookmarkStart w:id="27" w:name="Xcd37fca11b57a22747dae073f0202e5d114fd60"/>
      <w:r>
        <w:t xml:space="preserve">Detailed Bill of Materials (BOM) for yejeojesid (xqqhwvqj - Illustrative Data Based on Provided Format)</w:t>
      </w:r>
      <w:bookmarkEnd w:id="27"/>
    </w:p>
    <w:p>
      <w:pPr>
        <w:numPr>
          <w:ilvl w:val="0"/>
          <w:numId w:val="1000"/>
        </w:numPr>
      </w:pPr>
      <w:r>
        <w:t xml:space="preserve">The following table represents the detailed Bill of Materials (BOM) for "yejeojesid". As the provided \'xqqhwvqj\' was a placeholder string, illustrative data adhering to the specified format (ID, Description, Category, Process, Qty, Unit, Emission Factor, Total Carbon) has been used for calculation purposes.</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5"/>
          </w:tcPr>
          <w:p>
            <w:pPr>
              <w:pStyle w:val="Compact"/>
              <w:jc w:val="left"/>
            </w:pPr>
            <w:r>
              <w:rPr>
                <w:bCs/>
                <w:b/>
              </w:rPr>
              <w:t xml:space="preserve">Total Product Mass (excluding packaging for transport weight)</w:t>
            </w:r>
          </w:p>
        </w:tc>
        <w:tc>
          <w:tcPr/>
          <w:p>
            <w:pPr>
              <w:pStyle w:val="Compact"/>
              <w:jc w:val="left"/>
            </w:pPr>
            <w:r>
              <w:rPr>
                <w:bCs/>
                <w:b/>
              </w:rPr>
              <w:t xml:space="preserve">0.80 kg</w:t>
            </w:r>
          </w:p>
        </w:tc>
        <w:tc>
          <w:tcPr/>
          <w:p>
            <w:pPr>
              <w:pStyle w:val="Compact"/>
            </w:pPr>
          </w:p>
        </w:tc>
        <w:tc>
          <w:tcPr/>
          <w:p>
            <w:pPr>
              <w:pStyle w:val="Compact"/>
            </w:pPr>
          </w:p>
        </w:tc>
      </w:tr>
      <w:tr>
        <w:tc>
          <w:tcPr>
            <w:gridSpan w:val="5"/>
          </w:tcPr>
          <w:p>
            <w:pPr>
              <w:pStyle w:val="Compact"/>
              <w:jc w:val="left"/>
            </w:pPr>
            <w:r>
              <w:rPr>
                <w:bCs/>
                <w:b/>
              </w:rPr>
              <w:t xml:space="preserve">Total Product Mass (including packaging for transport weight)</w:t>
            </w:r>
          </w:p>
        </w:tc>
        <w:tc>
          <w:tcPr/>
          <w:p>
            <w:pPr>
              <w:pStyle w:val="Compact"/>
              <w:jc w:val="left"/>
            </w:pPr>
            <w:r>
              <w:rPr>
                <w:bCs/>
                <w:b/>
              </w:rPr>
              <w:t xml:space="preserve">0.85 kg</w:t>
            </w:r>
          </w:p>
        </w:tc>
        <w:tc>
          <w:tcPr/>
          <w:p>
            <w:pPr>
              <w:pStyle w:val="Compact"/>
            </w:pPr>
          </w:p>
        </w:tc>
        <w:tc>
          <w:tcPr/>
          <w:p>
            <w:pPr>
              <w:pStyle w:val="Compact"/>
            </w:pPr>
          </w:p>
        </w:tc>
      </w:tr>
    </w:tbl>
    <w:p>
      <w:pPr>
        <w:numPr>
          <w:ilvl w:val="0"/>
          <w:numId w:val="1000"/>
        </w:numPr>
        <w:pStyle w:val="Heading4"/>
      </w:pPr>
      <w:bookmarkStart w:id="28" w:name="customization-parameters-assumed-values"/>
      <w:r>
        <w:t xml:space="preserve">Customization Parameters &amp; Assumed Values:</w:t>
      </w:r>
      <w:bookmarkEnd w:id="28"/>
    </w:p>
    <w:p>
      <w:pPr>
        <w:numPr>
          <w:ilvl w:val="1"/>
          <w:numId w:val="1005"/>
        </w:numPr>
        <w:pStyle w:val="Compact"/>
      </w:pPr>
      <w:r>
        <w:rPr>
          <w:bCs/>
          <w:b/>
        </w:rPr>
        <w:t xml:space="preserve">Company Name:</w:t>
      </w:r>
      <w:r>
        <w:t xml:space="preserve"> </w:t>
      </w:r>
      <w:r>
        <w:t xml:space="preserve">hojvispnkv</w:t>
      </w:r>
    </w:p>
    <w:p>
      <w:pPr>
        <w:numPr>
          <w:ilvl w:val="1"/>
          <w:numId w:val="1005"/>
        </w:numPr>
        <w:pStyle w:val="Compact"/>
      </w:pPr>
      <w:r>
        <w:rPr>
          <w:bCs/>
          <w:b/>
        </w:rPr>
        <w:t xml:space="preserve">Product Name:</w:t>
      </w:r>
      <w:r>
        <w:t xml:space="preserve"> </w:t>
      </w:r>
      <w:r>
        <w:t xml:space="preserve">yejeojesid</w:t>
      </w:r>
    </w:p>
    <w:p>
      <w:pPr>
        <w:numPr>
          <w:ilvl w:val="1"/>
          <w:numId w:val="1005"/>
        </w:numPr>
        <w:pStyle w:val="Compact"/>
      </w:pPr>
      <w:r>
        <w:rPr>
          <w:bCs/>
          <w:b/>
        </w:rPr>
        <w:t xml:space="preserve">Senior Sustainability Consultant:</w:t>
      </w:r>
      <w:r>
        <w:t xml:space="preserve"> </w:t>
      </w:r>
      <w:r>
        <w:t xml:space="preserve">rgvqxxxzzx</w:t>
      </w:r>
    </w:p>
    <w:p>
      <w:pPr>
        <w:numPr>
          <w:ilvl w:val="1"/>
          <w:numId w:val="1005"/>
        </w:numPr>
        <w:pStyle w:val="Compact"/>
      </w:pPr>
      <w:r>
        <w:rPr>
          <w:bCs/>
          <w:b/>
        </w:rPr>
        <w:t xml:space="preserve">Transport Mode (Select Mode - assumed):</w:t>
      </w:r>
      <w:r>
        <w:t xml:space="preserve"> </w:t>
      </w:r>
      <w:r>
        <w:t xml:space="preserve">Ocean Freight (Main), Road Freight (Last-Mile)</w:t>
      </w:r>
    </w:p>
    <w:p>
      <w:pPr>
        <w:numPr>
          <w:ilvl w:val="1"/>
          <w:numId w:val="1005"/>
        </w:numPr>
        <w:pStyle w:val="Compact"/>
      </w:pPr>
      <w:r>
        <w:rPr>
          <w:bCs/>
          <w:b/>
        </w:rPr>
        <w:t xml:space="preserve">Transport Distance (ztdkvpnlwt - assumed):</w:t>
      </w:r>
      <w:r>
        <w:t xml:space="preserve"> </w:t>
      </w:r>
      <w:r>
        <w:t xml:space="preserve">Main Transport: 15,000 km (Europe to China, Ocean); Last-Mile: 200 km (within China, Road)</w:t>
      </w:r>
    </w:p>
    <w:p>
      <w:pPr>
        <w:numPr>
          <w:ilvl w:val="1"/>
          <w:numId w:val="1005"/>
        </w:numPr>
        <w:pStyle w:val="Compact"/>
      </w:pPr>
      <w:r>
        <w:rPr>
          <w:bCs/>
          <w:b/>
        </w:rPr>
        <w:t xml:space="preserve">Last-Mile Delivery Channel (Delivery Type - assumed):</w:t>
      </w:r>
      <w:r>
        <w:t xml:space="preserve"> </w:t>
      </w:r>
      <w:r>
        <w:t xml:space="preserve">Standard Road Freight</w:t>
      </w:r>
    </w:p>
    <w:p>
      <w:pPr>
        <w:numPr>
          <w:ilvl w:val="1"/>
          <w:numId w:val="1005"/>
        </w:numPr>
        <w:pStyle w:val="Compact"/>
      </w:pPr>
      <w:r>
        <w:rPr>
          <w:bCs/>
          <w:b/>
        </w:rPr>
        <w:t xml:space="preserve">Renewable Energy Usage (ugopqodfzf - assumed):</w:t>
      </w:r>
      <w:r>
        <w:t xml:space="preserve"> </w:t>
      </w:r>
      <w:r>
        <w:t xml:space="preserve">45% (of total electricity consumed in production)</w:t>
      </w:r>
    </w:p>
    <w:p>
      <w:pPr>
        <w:numPr>
          <w:ilvl w:val="1"/>
          <w:numId w:val="1005"/>
        </w:numPr>
        <w:pStyle w:val="Compact"/>
      </w:pPr>
      <w:r>
        <w:rPr>
          <w:bCs/>
          <w:b/>
        </w:rPr>
        <w:t xml:space="preserve">Energy Intensity (kWh/unit - assumed):</w:t>
      </w:r>
      <w:r>
        <w:t xml:space="preserve"> </w:t>
      </w:r>
      <w:r>
        <w:t xml:space="preserve">8.5 kWh/unit</w:t>
      </w:r>
    </w:p>
    <w:p>
      <w:pPr>
        <w:numPr>
          <w:ilvl w:val="1"/>
          <w:numId w:val="1005"/>
        </w:numPr>
        <w:pStyle w:val="Compact"/>
      </w:pPr>
      <w:r>
        <w:rPr>
          <w:bCs/>
          <w:b/>
        </w:rPr>
        <w:t xml:space="preserve">Product Lifespan (mhddikjgfj - assumed):</w:t>
      </w:r>
      <w:r>
        <w:t xml:space="preserve"> </w:t>
      </w:r>
      <w:r>
        <w:t xml:space="preserve">5 years</w:t>
      </w:r>
    </w:p>
    <w:p>
      <w:pPr>
        <w:numPr>
          <w:ilvl w:val="1"/>
          <w:numId w:val="1005"/>
        </w:numPr>
        <w:pStyle w:val="Compact"/>
      </w:pPr>
      <w:r>
        <w:rPr>
          <w:bCs/>
          <w:b/>
        </w:rPr>
        <w:t xml:space="preserve">Energy Consumption in Use (lkdhlutpjw - assumed):</w:t>
      </w:r>
      <w:r>
        <w:t xml:space="preserve"> </w:t>
      </w:r>
      <w:r>
        <w:t xml:space="preserve">10 kWh/year</w:t>
      </w:r>
    </w:p>
    <w:p>
      <w:pPr>
        <w:numPr>
          <w:ilvl w:val="1"/>
          <w:numId w:val="1005"/>
        </w:numPr>
        <w:pStyle w:val="Compact"/>
      </w:pPr>
      <w:r>
        <w:rPr>
          <w:bCs/>
          <w:b/>
        </w:rPr>
        <w:t xml:space="preserve">Recyclability Percentage (mfkdqyhqkw - assumed):</w:t>
      </w:r>
      <w:r>
        <w:t xml:space="preserve"> </w:t>
      </w:r>
      <w:r>
        <w:t xml:space="preserve">70%</w:t>
      </w:r>
    </w:p>
    <w:p>
      <w:pPr>
        <w:numPr>
          <w:ilvl w:val="1"/>
          <w:numId w:val="1005"/>
        </w:numPr>
        <w:pStyle w:val="Compact"/>
      </w:pPr>
      <w:r>
        <w:rPr>
          <w:bCs/>
          <w:b/>
        </w:rPr>
        <w:t xml:space="preserve">Circular/Take-back Programs (oxtzjmmfqo - assumed):</w:t>
      </w:r>
      <w:r>
        <w:t xml:space="preserve"> </w:t>
      </w:r>
      <w:r>
        <w:t xml:space="preserve">Yes, formal take-back program in place.</w:t>
      </w:r>
    </w:p>
    <w:p>
      <w:pPr>
        <w:numPr>
          <w:ilvl w:val="1"/>
          <w:numId w:val="1005"/>
        </w:numPr>
        <w:pStyle w:val="Compact"/>
      </w:pPr>
      <w:r>
        <w:rPr>
          <w:bCs/>
          <w:b/>
        </w:rPr>
        <w:t xml:space="preserve">Functional Unit:</w:t>
      </w:r>
      <w:r>
        <w:t xml:space="preserve"> </w:t>
      </w:r>
      <w:r>
        <w:t xml:space="preserve">1.0 unit</w:t>
      </w:r>
    </w:p>
    <w:p>
      <w:pPr>
        <w:numPr>
          <w:ilvl w:val="1"/>
          <w:numId w:val="1005"/>
        </w:numPr>
        <w:pStyle w:val="Compact"/>
      </w:pPr>
      <w:r>
        <w:rPr>
          <w:bCs/>
          <w:b/>
        </w:rPr>
        <w:t xml:space="preserve">System Boundary:</w:t>
      </w:r>
      <w:r>
        <w:t xml:space="preserve"> </w:t>
      </w:r>
      <w:r>
        <w:t xml:space="preserve">factory_gate (extended to cradle-to-grave)</w:t>
      </w:r>
    </w:p>
    <w:p>
      <w:pPr>
        <w:numPr>
          <w:ilvl w:val="1"/>
          <w:numId w:val="1005"/>
        </w:numPr>
        <w:pStyle w:val="Compact"/>
      </w:pPr>
      <w:r>
        <w:rPr>
          <w:bCs/>
          <w:b/>
        </w:rPr>
        <w:t xml:space="preserve">Geographic Scope:</w:t>
      </w:r>
      <w:r>
        <w:t xml:space="preserve"> </w:t>
      </w:r>
      <w:r>
        <w:t xml:space="preserve">Final Production Country: China, Supply Chain Focus: Europe Focused</w:t>
      </w:r>
    </w:p>
    <w:p>
      <w:pPr>
        <w:numPr>
          <w:ilvl w:val="1"/>
          <w:numId w:val="1005"/>
        </w:numPr>
        <w:pStyle w:val="Compact"/>
      </w:pPr>
      <w:r>
        <w:rPr>
          <w:bCs/>
          <w:b/>
        </w:rPr>
        <w:t xml:space="preserve">Accounting Standard:</w:t>
      </w:r>
      <w:r>
        <w:t xml:space="preserve"> </w:t>
      </w:r>
      <w:r>
        <w:t xml:space="preserve">GHG Protocol</w:t>
      </w:r>
    </w:p>
    <w:p>
      <w:pPr>
        <w:numPr>
          <w:ilvl w:val="0"/>
          <w:numId w:val="1000"/>
        </w:numPr>
        <w:pStyle w:val="Heading4"/>
      </w:pPr>
      <w:bookmarkStart w:id="29" w:name="X9018d50a20c0e0ee8a5162d16a64f7307bc697b"/>
      <w:r>
        <w:t xml:space="preserve">Emission Factors (Illustrative and Industry-Standard):</w:t>
      </w:r>
      <w:bookmarkEnd w:id="29"/>
    </w:p>
    <w:p>
      <w:pPr>
        <w:numPr>
          <w:ilvl w:val="1"/>
          <w:numId w:val="1006"/>
        </w:numPr>
        <w:pStyle w:val="Compact"/>
      </w:pPr>
      <w:r>
        <w:rPr>
          <w:bCs/>
          <w:b/>
        </w:rPr>
        <w:t xml:space="preserve">Electricity Grid Mix (China Average):</w:t>
      </w:r>
      <w:r>
        <w:t xml:space="preserve"> </w:t>
      </w:r>
      <w:r>
        <w:t xml:space="preserve">0.60 kgCO2e/kWh</w:t>
      </w:r>
    </w:p>
    <w:p>
      <w:pPr>
        <w:numPr>
          <w:ilvl w:val="1"/>
          <w:numId w:val="1006"/>
        </w:numPr>
        <w:pStyle w:val="Compact"/>
      </w:pPr>
      <w:r>
        <w:rPr>
          <w:bCs/>
          <w:b/>
        </w:rPr>
        <w:t xml:space="preserve">Ocean Freight:</w:t>
      </w:r>
      <w:r>
        <w:t xml:space="preserve"> </w:t>
      </w:r>
      <w:r>
        <w:t xml:space="preserve">0.016 kgCO2e/tkm (for container ships)</w:t>
      </w:r>
    </w:p>
    <w:p>
      <w:pPr>
        <w:numPr>
          <w:ilvl w:val="1"/>
          <w:numId w:val="1006"/>
        </w:numPr>
        <w:pStyle w:val="Compact"/>
      </w:pPr>
      <w:r>
        <w:rPr>
          <w:bCs/>
          <w:b/>
        </w:rPr>
        <w:t xml:space="preserve">Road Freight:</w:t>
      </w:r>
      <w:r>
        <w:t xml:space="preserve"> </w:t>
      </w:r>
      <w:r>
        <w:t xml:space="preserve">0.100 kgCO2e/tkm (general road freight)</w:t>
      </w:r>
    </w:p>
    <w:p>
      <w:pPr>
        <w:numPr>
          <w:ilvl w:val="1"/>
          <w:numId w:val="1006"/>
        </w:numPr>
        <w:pStyle w:val="Compact"/>
      </w:pPr>
      <w:r>
        <w:rPr>
          <w:bCs/>
          <w:b/>
        </w:rPr>
        <w:t xml:space="preserve">End-of-Life (Landfill - plastic):</w:t>
      </w:r>
      <w:r>
        <w:t xml:space="preserve"> </w:t>
      </w:r>
      <w:r>
        <w:t xml:space="preserve">0.033 kgCO2e/kg</w:t>
      </w:r>
    </w:p>
    <w:p>
      <w:pPr>
        <w:numPr>
          <w:ilvl w:val="1"/>
          <w:numId w:val="1006"/>
        </w:numPr>
        <w:pStyle w:val="Compact"/>
      </w:pPr>
      <w:r>
        <w:rPr>
          <w:bCs/>
          <w:b/>
        </w:rPr>
        <w:t xml:space="preserve">End-of-Life (Landfill - general, illustrative):</w:t>
      </w:r>
      <w:r>
        <w:t xml:space="preserve"> </w:t>
      </w:r>
      <w:r>
        <w:t xml:space="preserve">1.0 kgCO2e/kg (for non-plastic materials)</w:t>
      </w:r>
    </w:p>
    <w:p>
      <w:pPr>
        <w:numPr>
          <w:ilvl w:val="1"/>
          <w:numId w:val="1006"/>
        </w:numPr>
        <w:pStyle w:val="Compact"/>
      </w:pPr>
      <w:r>
        <w:rPr>
          <w:bCs/>
          <w:b/>
        </w:rPr>
        <w:t xml:space="preserve">End-of-Life (Recycling Credit - illustrative for avoided virgin production):</w:t>
      </w:r>
      <w:r>
        <w:t xml:space="preserve"> </w:t>
      </w:r>
      <w:r>
        <w:t xml:space="preserve">-1.0 kgCO2e/kg</w:t>
      </w:r>
    </w:p>
    <w:bookmarkEnd w:id="30"/>
    <w:p>
      <w:r>
        <w:pict>
          <v:rect style="width:0;height:1.5pt" o:hralign="center" o:hrstd="t" o:hr="t"/>
        </w:pict>
      </w:r>
    </w:p>
    <w:bookmarkStart w:id="41" w:name="X2c62247db19834934c44c209ad423fe06ba5c64"/>
    <w:p>
      <w:pPr>
        <w:pStyle w:val="Heading2"/>
      </w:pPr>
      <w:r>
        <w:t xml:space="preserve">3. Calculation of Emissions (Activity * Emission Factor = CO2e)</w:t>
      </w:r>
    </w:p>
    <w:p>
      <w:pPr>
        <w:pStyle w:val="FirstParagraph"/>
      </w:pPr>
      <w:r>
        <w:t xml:space="preserve">Emissions are calculated for each stage of the product\'s lifecycle and categorized according to the GHG Protocol\'s Scope 1, 2, and 3. Given the "factory_gate" system boundary with extensions, Scope 3 compliance for over 95% coverage is addressed by including significant upstream and downstream activities.</w:t>
      </w:r>
    </w:p>
    <w:bookmarkStart w:id="31" w:name="Xc65a9c976eff9f4b528d32c727237871f3445a7"/>
    <w:p>
      <w:pPr>
        <w:pStyle w:val="Heading3"/>
      </w:pPr>
      <w:r>
        <w:t xml:space="preserve">3.1. Material Acquisition &amp; Pre-processing (Scope 3 - Category 1: Purchased Goods and Services)</w:t>
      </w:r>
    </w:p>
    <w:p>
      <w:pPr>
        <w:pStyle w:val="FirstParagraph"/>
      </w:pPr>
      <w:r>
        <w:t xml:space="preserve">This stage accounts for the emissions embodied in the raw materials and components as they arrive at the hojvispnkv factory. These are directly taken from the "Total Carbon" column of the illustrative BOM.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BOM Item</w:t>
            </w:r>
          </w:p>
        </w:tc>
        <w:tc>
          <w:tcPr/>
          <w:p>
            <w:pPr>
              <w:pStyle w:val="Compact"/>
              <w:jc w:val="left"/>
            </w:pPr>
            <w:r>
              <w:t xml:space="preserve">Material Category</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5.000</w:t>
            </w:r>
          </w:p>
        </w:tc>
      </w:tr>
      <w:tr>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0.700</w:t>
            </w:r>
          </w:p>
        </w:tc>
      </w:tr>
      <w:tr>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2.500</w:t>
            </w:r>
          </w:p>
        </w:tc>
      </w:tr>
      <w:tr>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0.075</w:t>
            </w:r>
          </w:p>
        </w:tc>
      </w:tr>
      <w:tr>
        <w:tc>
          <w:tcPr>
            <w:gridSpan w:val="2"/>
          </w:tcPr>
          <w:p>
            <w:pPr>
              <w:pStyle w:val="Compact"/>
              <w:jc w:val="left"/>
            </w:pPr>
            <w:r>
              <w:rPr>
                <w:bCs/>
                <w:b/>
              </w:rPr>
              <w:t xml:space="preserve">Subtotal (Materials)</w:t>
            </w:r>
          </w:p>
        </w:tc>
        <w:tc>
          <w:tcPr/>
          <w:p>
            <w:pPr>
              <w:pStyle w:val="Compact"/>
              <w:jc w:val="left"/>
            </w:pPr>
            <w:r>
              <w:rPr>
                <w:bCs/>
                <w:b/>
              </w:rPr>
              <w:t xml:space="preserve">8.275 kgCO2e</w:t>
            </w:r>
          </w:p>
        </w:tc>
      </w:tr>
    </w:tbl>
    <w:bookmarkEnd w:id="31"/>
    <w:bookmarkStart w:id="33" w:name="production-phase-scope-1-2"/>
    <w:p>
      <w:pPr>
        <w:pStyle w:val="Heading3"/>
      </w:pPr>
      <w:r>
        <w:t xml:space="preserve">3.2. Production Phase (Scope 1 &amp; 2)</w:t>
      </w:r>
    </w:p>
    <w:p>
      <w:pPr>
        <w:pStyle w:val="FirstParagraph"/>
      </w:pPr>
      <w:r>
        <w:t xml:space="preserve">Emissions from the manufacturing process at the hojvispnkv facility in China.</w:t>
      </w:r>
    </w:p>
    <w:p>
      <w:pPr>
        <w:numPr>
          <w:ilvl w:val="0"/>
          <w:numId w:val="1007"/>
        </w:numPr>
        <w:pStyle w:val="Compact"/>
      </w:pPr>
      <w:r>
        <w:rPr>
          <w:bCs/>
          <w:b/>
        </w:rPr>
        <w:t xml:space="preserve">Energy Intensity:</w:t>
      </w:r>
      <w:r>
        <w:t xml:space="preserve"> </w:t>
      </w:r>
      <w:r>
        <w:t xml:space="preserve">8.5 kWh/unit</w:t>
      </w:r>
    </w:p>
    <w:p>
      <w:pPr>
        <w:numPr>
          <w:ilvl w:val="0"/>
          <w:numId w:val="1007"/>
        </w:numPr>
        <w:pStyle w:val="Compact"/>
      </w:pPr>
      <w:r>
        <w:rPr>
          <w:bCs/>
          <w:b/>
        </w:rPr>
        <w:t xml:space="preserve">Renewable Energy Usage:</w:t>
      </w:r>
      <w:r>
        <w:t xml:space="preserve"> </w:t>
      </w:r>
      <w:r>
        <w:t xml:space="preserve">45%</w:t>
      </w:r>
    </w:p>
    <w:p>
      <w:pPr>
        <w:numPr>
          <w:ilvl w:val="0"/>
          <w:numId w:val="1007"/>
        </w:numPr>
        <w:pStyle w:val="Compact"/>
      </w:pPr>
      <w:r>
        <w:rPr>
          <w:bCs/>
          <w:b/>
        </w:rPr>
        <w:t xml:space="preserve">Non-renewable Electricity Consumption:</w:t>
      </w:r>
      <w:r>
        <w:t xml:space="preserve"> </w:t>
      </w:r>
      <w:r>
        <w:t xml:space="preserve">8.5 kWh/unit * (1 - 0.45) = 4.675 kWh/unit</w:t>
      </w:r>
    </w:p>
    <w:p>
      <w:pPr>
        <w:numPr>
          <w:ilvl w:val="0"/>
          <w:numId w:val="1007"/>
        </w:numPr>
        <w:pStyle w:val="Compact"/>
      </w:pPr>
      <w:r>
        <w:rPr>
          <w:bCs/>
          <w:b/>
        </w:rPr>
        <w:t xml:space="preserve">China Electricity Grid Emission Factor:</w:t>
      </w:r>
      <w:r>
        <w:t xml:space="preserve"> </w:t>
      </w:r>
      <w:r>
        <w:t xml:space="preserve">0.60 kgCO2e/kWh</w:t>
      </w:r>
    </w:p>
    <w:bookmarkStart w:id="32" w:name="scope-2-emissions-purchased-electricity"/>
    <w:p>
      <w:pPr>
        <w:pStyle w:val="Heading4"/>
      </w:pPr>
      <w:r>
        <w:t xml:space="preserve">Scope 2 Emissions (Purchased Electricity):</w:t>
      </w:r>
    </w:p>
    <w:p>
      <w:pPr>
        <w:pStyle w:val="FirstParagraph"/>
      </w:pPr>
      <w:r>
        <w:t xml:space="preserve">4.675 kWh/unit * 0.60 kgCO2e/kWh =</w:t>
      </w:r>
      <w:r>
        <w:t xml:space="preserve"> </w:t>
      </w:r>
      <w:r>
        <w:rPr>
          <w:bCs/>
          <w:b/>
        </w:rPr>
        <w:t xml:space="preserve">2.805 kgCO2e</w:t>
      </w:r>
    </w:p>
    <w:p>
      <w:pPr>
        <w:pStyle w:val="BodyText"/>
      </w:pPr>
      <w:r>
        <w:rPr>
          <w:iCs/>
          <w:i/>
        </w:rPr>
        <w:t xml:space="preserve">Note: Assuming direct on-site (Scope 1) emissions from fuel combustion or process emissions are negligible for this product, unless specified. For a typical electronics product assembly, Scope 2 electricity consumption is the dominant production emission.</w:t>
      </w:r>
    </w:p>
    <w:bookmarkEnd w:id="32"/>
    <w:bookmarkEnd w:id="33"/>
    <w:bookmarkStart w:id="36" w:name="transport-scope-3---categories-4-9"/>
    <w:p>
      <w:pPr>
        <w:pStyle w:val="Heading3"/>
      </w:pPr>
      <w:r>
        <w:t xml:space="preserve">3.3. Transport (Scope 3 - Categories 4 &amp; 9)</w:t>
      </w:r>
    </w:p>
    <w:p>
      <w:pPr>
        <w:pStyle w:val="FirstParagraph"/>
      </w:pPr>
      <w:r>
        <w:t xml:space="preserve">This includes upstream transport of materials and downstream transport of the finished product. The total product mass for transport calculations is 0.85 kg (including packaging).</w:t>
      </w:r>
    </w:p>
    <w:bookmarkStart w:id="34" w:name="X307ef06686a54dbf5ce23531170555726d703a3"/>
    <w:p>
      <w:pPr>
        <w:pStyle w:val="Heading4"/>
      </w:pPr>
      <w:r>
        <w:t xml:space="preserve">Upstream Transport (Materials from Europe to China - Ocean Freight):</w:t>
      </w:r>
    </w:p>
    <w:p>
      <w:pPr>
        <w:numPr>
          <w:ilvl w:val="0"/>
          <w:numId w:val="1008"/>
        </w:numPr>
        <w:pStyle w:val="Compact"/>
      </w:pPr>
      <w:r>
        <w:rPr>
          <w:bCs/>
          <w:b/>
        </w:rPr>
        <w:t xml:space="preserve">Distance:</w:t>
      </w:r>
      <w:r>
        <w:t xml:space="preserve"> </w:t>
      </w:r>
      <w:r>
        <w:t xml:space="preserve">15,000 km</w:t>
      </w:r>
    </w:p>
    <w:p>
      <w:pPr>
        <w:numPr>
          <w:ilvl w:val="0"/>
          <w:numId w:val="1008"/>
        </w:numPr>
        <w:pStyle w:val="Compact"/>
      </w:pPr>
      <w:r>
        <w:rPr>
          <w:bCs/>
          <w:b/>
        </w:rPr>
        <w:t xml:space="preserve">Total Material Mass:</w:t>
      </w:r>
      <w:r>
        <w:t xml:space="preserve"> </w:t>
      </w:r>
      <w:r>
        <w:t xml:space="preserve">0.85 kg = 0.00085 tonnes</w:t>
      </w:r>
    </w:p>
    <w:p>
      <w:pPr>
        <w:numPr>
          <w:ilvl w:val="0"/>
          <w:numId w:val="1008"/>
        </w:numPr>
        <w:pStyle w:val="Compact"/>
      </w:pPr>
      <w:r>
        <w:rPr>
          <w:bCs/>
          <w:b/>
        </w:rPr>
        <w:t xml:space="preserve">Ocean Freight Emission Factor:</w:t>
      </w:r>
      <w:r>
        <w:t xml:space="preserve"> </w:t>
      </w:r>
      <w:r>
        <w:t xml:space="preserve">0.016 kgCO2e/tkm</w:t>
      </w:r>
    </w:p>
    <w:p>
      <w:pPr>
        <w:pStyle w:val="FirstParagraph"/>
      </w:pPr>
      <w:r>
        <w:t xml:space="preserve">Emissions = 0.00085 tonnes * 15,000 km * 0.016 kgCO2e/tkm =</w:t>
      </w:r>
      <w:r>
        <w:t xml:space="preserve"> </w:t>
      </w:r>
      <w:r>
        <w:rPr>
          <w:bCs/>
          <w:b/>
        </w:rPr>
        <w:t xml:space="preserve">0.204 kgCO2e</w:t>
      </w:r>
    </w:p>
    <w:bookmarkEnd w:id="34"/>
    <w:bookmarkStart w:id="35" w:name="X1fabb20773d876cacc8a7205398b7a85ccd3184"/>
    <w:p>
      <w:pPr>
        <w:pStyle w:val="Heading4"/>
      </w:pPr>
      <w:r>
        <w:t xml:space="preserve">Downstream Transport (Last-Mile Delivery in China - Road Freight):</w:t>
      </w:r>
    </w:p>
    <w:p>
      <w:pPr>
        <w:numPr>
          <w:ilvl w:val="0"/>
          <w:numId w:val="1009"/>
        </w:numPr>
        <w:pStyle w:val="Compact"/>
      </w:pPr>
      <w:r>
        <w:rPr>
          <w:bCs/>
          <w:b/>
        </w:rPr>
        <w:t xml:space="preserve">Distance:</w:t>
      </w:r>
      <w:r>
        <w:t xml:space="preserve"> </w:t>
      </w:r>
      <w:r>
        <w:t xml:space="preserve">200 km</w:t>
      </w:r>
    </w:p>
    <w:p>
      <w:pPr>
        <w:numPr>
          <w:ilvl w:val="0"/>
          <w:numId w:val="1009"/>
        </w:numPr>
        <w:pStyle w:val="Compact"/>
      </w:pPr>
      <w:r>
        <w:rPr>
          <w:bCs/>
          <w:b/>
        </w:rPr>
        <w:t xml:space="preserve">Product Mass:</w:t>
      </w:r>
      <w:r>
        <w:t xml:space="preserve"> </w:t>
      </w:r>
      <w:r>
        <w:t xml:space="preserve">0.85 kg = 0.00085 tonnes</w:t>
      </w:r>
    </w:p>
    <w:p>
      <w:pPr>
        <w:numPr>
          <w:ilvl w:val="0"/>
          <w:numId w:val="1009"/>
        </w:numPr>
        <w:pStyle w:val="Compact"/>
      </w:pPr>
      <w:r>
        <w:rPr>
          <w:bCs/>
          <w:b/>
        </w:rPr>
        <w:t xml:space="preserve">Road Freight Emission Factor:</w:t>
      </w:r>
      <w:r>
        <w:t xml:space="preserve"> </w:t>
      </w:r>
      <w:r>
        <w:t xml:space="preserve">0.100 kgCO2e/tkm</w:t>
      </w:r>
    </w:p>
    <w:p>
      <w:pPr>
        <w:pStyle w:val="FirstParagraph"/>
      </w:pPr>
      <w:r>
        <w:t xml:space="preserve">Emissions = 0.00085 tonnes * 200 km * 0.100 kgCO2e/tkm =</w:t>
      </w:r>
      <w:r>
        <w:t xml:space="preserve"> </w:t>
      </w:r>
      <w:r>
        <w:rPr>
          <w:bCs/>
          <w:b/>
        </w:rPr>
        <w:t xml:space="preserve">0.017 kgCO2e</w:t>
      </w:r>
    </w:p>
    <w:p>
      <w:pPr>
        <w:pStyle w:val="BodyText"/>
      </w:pPr>
      <w:r>
        <w:rPr>
          <w:bCs/>
          <w:b/>
        </w:rPr>
        <w:t xml:space="preserve">Subtotal (Transport): 0.204 + 0.017 = 0.221 kgCO2e</w:t>
      </w:r>
    </w:p>
    <w:bookmarkEnd w:id="35"/>
    <w:bookmarkEnd w:id="36"/>
    <w:bookmarkStart w:id="37" w:name="X687445901a9235e23446a36286990b6b14efa53"/>
    <w:p>
      <w:pPr>
        <w:pStyle w:val="Heading3"/>
      </w:pPr>
      <w:r>
        <w:t xml:space="preserve">3.4. Use Phase (Scope 3 - Category 11: Use of Sold Products)</w:t>
      </w:r>
    </w:p>
    <w:p>
      <w:pPr>
        <w:pStyle w:val="FirstParagraph"/>
      </w:pPr>
      <w:r>
        <w:t xml:space="preserve">Emissions during the product\'s lifespan are primarily from energy consumption.</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10 kWh/year</w:t>
      </w:r>
    </w:p>
    <w:p>
      <w:pPr>
        <w:numPr>
          <w:ilvl w:val="0"/>
          <w:numId w:val="1010"/>
        </w:numPr>
        <w:pStyle w:val="Compact"/>
      </w:pPr>
      <w:r>
        <w:rPr>
          <w:bCs/>
          <w:b/>
        </w:rPr>
        <w:t xml:space="preserve">Total Energy Consumption over Lifespan:</w:t>
      </w:r>
      <w:r>
        <w:t xml:space="preserve"> </w:t>
      </w:r>
      <w:r>
        <w:t xml:space="preserve">10 kWh/year * 5 years = 50 kWh</w:t>
      </w:r>
    </w:p>
    <w:p>
      <w:pPr>
        <w:numPr>
          <w:ilvl w:val="0"/>
          <w:numId w:val="1010"/>
        </w:numPr>
        <w:pStyle w:val="Compact"/>
      </w:pPr>
      <w:r>
        <w:rPr>
          <w:bCs/>
          <w:b/>
        </w:rPr>
        <w:t xml:space="preserve">Electricity Grid Emission Factor (China):</w:t>
      </w:r>
      <w:r>
        <w:t xml:space="preserve"> </w:t>
      </w:r>
      <w:r>
        <w:t xml:space="preserve">0.60 kgCO2e/kWh (assuming product used in China or average grid mix relevant for consumption)</w:t>
      </w:r>
    </w:p>
    <w:p>
      <w:pPr>
        <w:pStyle w:val="FirstParagraph"/>
      </w:pPr>
      <w:r>
        <w:t xml:space="preserve">Emissions = 50 kWh * 0.60 kgCO2e/kWh =</w:t>
      </w:r>
      <w:r>
        <w:t xml:space="preserve"> </w:t>
      </w:r>
      <w:r>
        <w:rPr>
          <w:bCs/>
          <w:b/>
        </w:rPr>
        <w:t xml:space="preserve">30.000 kgCO2e</w:t>
      </w:r>
    </w:p>
    <w:bookmarkEnd w:id="37"/>
    <w:bookmarkStart w:id="40" w:name="X72ffec783e0e060039a5700db2ab7e6b8d3d4b1"/>
    <w:p>
      <w:pPr>
        <w:pStyle w:val="Heading3"/>
      </w:pPr>
      <w:r>
        <w:t xml:space="preserve">3.5. End-of-Life (EoL) Phase (Scope 3 - Category 12: End-of-Life Treatment of Sold Products)</w:t>
      </w:r>
    </w:p>
    <w:p>
      <w:pPr>
        <w:pStyle w:val="FirstParagraph"/>
      </w:pPr>
      <w:r>
        <w:t xml:space="preserve">This accounts for the disposal or recycling of the product at the end of its 5-year lifespan.</w:t>
      </w:r>
    </w:p>
    <w:p>
      <w:pPr>
        <w:numPr>
          <w:ilvl w:val="0"/>
          <w:numId w:val="1011"/>
        </w:numPr>
        <w:pStyle w:val="Compact"/>
      </w:pPr>
      <w:r>
        <w:rPr>
          <w:bCs/>
          <w:b/>
        </w:rPr>
        <w:t xml:space="preserve">Total Product Mass:</w:t>
      </w:r>
      <w:r>
        <w:t xml:space="preserve"> </w:t>
      </w:r>
      <w:r>
        <w:t xml:space="preserve">0.85 kg (including packaging)</w:t>
      </w:r>
    </w:p>
    <w:p>
      <w:pPr>
        <w:numPr>
          <w:ilvl w:val="0"/>
          <w:numId w:val="1011"/>
        </w:numPr>
        <w:pStyle w:val="Compact"/>
      </w:pPr>
      <w:r>
        <w:rPr>
          <w:bCs/>
          <w:b/>
        </w:rPr>
        <w:t xml:space="preserve">Recyclability Percentage:</w:t>
      </w:r>
      <w:r>
        <w:t xml:space="preserve"> </w:t>
      </w:r>
      <w:r>
        <w:t xml:space="preserve">70%</w:t>
      </w:r>
    </w:p>
    <w:p>
      <w:pPr>
        <w:numPr>
          <w:ilvl w:val="0"/>
          <w:numId w:val="1011"/>
        </w:numPr>
        <w:pStyle w:val="Compact"/>
      </w:pPr>
      <w:r>
        <w:rPr>
          <w:bCs/>
          <w:b/>
        </w:rPr>
        <w:t xml:space="preserve">Mass Recycled:</w:t>
      </w:r>
      <w:r>
        <w:t xml:space="preserve"> </w:t>
      </w:r>
      <w:r>
        <w:t xml:space="preserve">0.85 kg * 0.70 = 0.595 kg</w:t>
      </w:r>
    </w:p>
    <w:p>
      <w:pPr>
        <w:numPr>
          <w:ilvl w:val="0"/>
          <w:numId w:val="1011"/>
        </w:numPr>
        <w:pStyle w:val="Compact"/>
      </w:pPr>
      <w:r>
        <w:rPr>
          <w:bCs/>
          <w:b/>
        </w:rPr>
        <w:t xml:space="preserve">Mass Landfilled:</w:t>
      </w:r>
      <w:r>
        <w:t xml:space="preserve"> </w:t>
      </w:r>
      <w:r>
        <w:t xml:space="preserve">0.85 kg * (1 - 0.70) = 0.255 kg</w:t>
      </w:r>
    </w:p>
    <w:bookmarkStart w:id="38" w:name="emissions-from-landfilled-waste"/>
    <w:p>
      <w:pPr>
        <w:pStyle w:val="Heading4"/>
      </w:pPr>
      <w:r>
        <w:t xml:space="preserve">Emissions from Landfilled Waste:</w:t>
      </w:r>
    </w:p>
    <w:p>
      <w:pPr>
        <w:pStyle w:val="FirstParagraph"/>
      </w:pPr>
      <w:r>
        <w:t xml:space="preserve">Assuming the non-recycled portion is sent to landfill. Using an illustrative emission factor for landfill (general, not specific to plastic for total product mass) and a specific one for plastic components.</w:t>
      </w:r>
    </w:p>
    <w:p>
      <w:pPr>
        <w:numPr>
          <w:ilvl w:val="0"/>
          <w:numId w:val="1012"/>
        </w:numPr>
        <w:pStyle w:val="Compact"/>
      </w:pPr>
      <w:r>
        <w:rPr>
          <w:bCs/>
          <w:b/>
        </w:rPr>
        <w:t xml:space="preserve">Plastic component mass:</w:t>
      </w:r>
      <w:r>
        <w:t xml:space="preserve"> </w:t>
      </w:r>
      <w:r>
        <w:t xml:space="preserve">0.2 kg</w:t>
      </w:r>
    </w:p>
    <w:p>
      <w:pPr>
        <w:numPr>
          <w:ilvl w:val="0"/>
          <w:numId w:val="1012"/>
        </w:numPr>
        <w:pStyle w:val="Compact"/>
      </w:pPr>
      <w:r>
        <w:rPr>
          <w:bCs/>
          <w:b/>
        </w:rPr>
        <w:t xml:space="preserve">Plastic component non-recycled:</w:t>
      </w:r>
      <w:r>
        <w:t xml:space="preserve"> </w:t>
      </w:r>
      <w:r>
        <w:t xml:space="preserve">0.2 kg * (1 - 0.70) = 0.06 kg</w:t>
      </w:r>
    </w:p>
    <w:p>
      <w:pPr>
        <w:numPr>
          <w:ilvl w:val="0"/>
          <w:numId w:val="1012"/>
        </w:numPr>
        <w:pStyle w:val="Compact"/>
      </w:pPr>
      <w:r>
        <w:rPr>
          <w:bCs/>
          <w:b/>
        </w:rPr>
        <w:t xml:space="preserve">Other materials non-recycled:</w:t>
      </w:r>
      <w:r>
        <w:t xml:space="preserve"> </w:t>
      </w:r>
      <w:r>
        <w:t xml:space="preserve">(0.85 kg - 0.2 kg) * (1 - 0.70) = 0.65 kg * 0.30 = 0.195 kg</w:t>
      </w:r>
    </w:p>
    <w:p>
      <w:pPr>
        <w:pStyle w:val="FirstParagraph"/>
      </w:pPr>
      <w:r>
        <w:t xml:space="preserve">Emissions (Plastic Landfill) = 0.06 kg * 0.033 kgCO2e/kg = 0.00198 kgCO2e</w:t>
      </w:r>
    </w:p>
    <w:p>
      <w:pPr>
        <w:pStyle w:val="BodyText"/>
      </w:pPr>
      <w:r>
        <w:t xml:space="preserve">Emissions (Other Material Landfill - illustrative) = 0.195 kg * 1.0 kgCO2e/kg = 0.195 kgCO2e</w:t>
      </w:r>
    </w:p>
    <w:p>
      <w:pPr>
        <w:pStyle w:val="BodyText"/>
      </w:pPr>
      <w:r>
        <w:rPr>
          <w:bCs/>
          <w:b/>
        </w:rPr>
        <w:t xml:space="preserve">Total Landfill Emissions: 0.00198 + 0.195 = 0.19698 kgCO2e</w:t>
      </w:r>
    </w:p>
    <w:bookmarkEnd w:id="38"/>
    <w:bookmarkStart w:id="39" w:name="credits-from-recycling"/>
    <w:p>
      <w:pPr>
        <w:pStyle w:val="Heading4"/>
      </w:pPr>
      <w:r>
        <w:t xml:space="preserve">Credits from Recycling:</w:t>
      </w:r>
    </w:p>
    <w:p>
      <w:pPr>
        <w:pStyle w:val="FirstParagraph"/>
      </w:pPr>
      <w:r>
        <w:t xml:space="preserve">Recycling generates credits by avoiding the production of virgin materials.</w:t>
      </w:r>
    </w:p>
    <w:p>
      <w:pPr>
        <w:pStyle w:val="BodyText"/>
      </w:pPr>
      <w:r>
        <w:t xml:space="preserve">Credit = 0.595 kg * (-1.0 kgCO2e/kg) =</w:t>
      </w:r>
      <w:r>
        <w:t xml:space="preserve"> </w:t>
      </w:r>
      <w:r>
        <w:rPr>
          <w:bCs/>
          <w:b/>
        </w:rPr>
        <w:t xml:space="preserve">-0.595 kgCO2e</w:t>
      </w:r>
    </w:p>
    <w:p>
      <w:pPr>
        <w:pStyle w:val="BodyText"/>
      </w:pPr>
      <w:r>
        <w:rPr>
          <w:bCs/>
          <w:b/>
        </w:rPr>
        <w:t xml:space="preserve">Subtotal (EoL): 0.19698 kgCO2e + (-0.595 kgCO2e) = -0.39802 kgCO2e</w:t>
      </w:r>
    </w:p>
    <w:p>
      <w:pPr>
        <w:pStyle w:val="BodyText"/>
      </w:pPr>
      <w:r>
        <w:rPr>
          <w:iCs/>
          <w:i/>
        </w:rPr>
        <w:t xml:space="preserve">Note: The negative value indicates a net carbon benefit due to the high recyclability percentage and the assumed recycling credit. Circular/Take-back Programs (oxtzjmmfqo: Yes) are incorporated into this benefit, reinforcing the positive impact of product circularity.</w:t>
      </w:r>
    </w:p>
    <w:bookmarkEnd w:id="39"/>
    <w:bookmarkEnd w:id="40"/>
    <w:bookmarkEnd w:id="41"/>
    <w:p>
      <w:r>
        <w:pict>
          <v:rect style="width:0;height:1.5pt" o:hralign="center" o:hrstd="t" o:hr="t"/>
        </w:pict>
      </w:r>
    </w:p>
    <w:bookmarkStart w:id="43" w:name="total-product-carbon-footprint-summary"/>
    <w:p>
      <w:pPr>
        <w:pStyle w:val="Heading2"/>
      </w:pPr>
      <w:r>
        <w:t xml:space="preserve">4. Total Product Carbon Footprint Summary</w:t>
      </w:r>
    </w:p>
    <w:p>
      <w:pPr>
        <w:pStyle w:val="FirstParagraph"/>
      </w:pPr>
      <w:r>
        <w:t xml:space="preserve">The total Product Carbon Footprint for one functional unit of "yejeojesid"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 - Category 1)</w:t>
            </w:r>
          </w:p>
        </w:tc>
        <w:tc>
          <w:tcPr/>
          <w:p>
            <w:pPr>
              <w:pStyle w:val="Compact"/>
              <w:jc w:val="left"/>
            </w:pPr>
            <w:r>
              <w:t xml:space="preserve">8.275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2.805</w:t>
            </w:r>
          </w:p>
        </w:tc>
      </w:tr>
      <w:tr>
        <w:tc>
          <w:tcPr/>
          <w:p>
            <w:pPr>
              <w:pStyle w:val="Compact"/>
              <w:jc w:val="left"/>
            </w:pPr>
            <w:r>
              <w:t xml:space="preserve">Transport (Upstream &amp; Downstream)</w:t>
            </w:r>
          </w:p>
        </w:tc>
        <w:tc>
          <w:tcPr/>
          <w:p>
            <w:pPr>
              <w:pStyle w:val="Compact"/>
              <w:jc w:val="left"/>
            </w:pPr>
            <w:r>
              <w:t xml:space="preserve">Scope 3 (Upstream - Cat 4 &amp; Downstream - Cat 9)</w:t>
            </w:r>
          </w:p>
        </w:tc>
        <w:tc>
          <w:tcPr/>
          <w:p>
            <w:pPr>
              <w:pStyle w:val="Compact"/>
              <w:jc w:val="left"/>
            </w:pPr>
            <w:r>
              <w:t xml:space="preserve">0.221</w:t>
            </w:r>
          </w:p>
        </w:tc>
      </w:tr>
      <w:tr>
        <w:tc>
          <w:tcPr/>
          <w:p>
            <w:pPr>
              <w:pStyle w:val="Compact"/>
              <w:jc w:val="left"/>
            </w:pPr>
            <w:r>
              <w:t xml:space="preserve">Use Phase</w:t>
            </w:r>
          </w:p>
        </w:tc>
        <w:tc>
          <w:tcPr/>
          <w:p>
            <w:pPr>
              <w:pStyle w:val="Compact"/>
              <w:jc w:val="left"/>
            </w:pPr>
            <w:r>
              <w:t xml:space="preserve">Scope 3 (Downstream - Category 11)</w:t>
            </w:r>
          </w:p>
        </w:tc>
        <w:tc>
          <w:tcPr/>
          <w:p>
            <w:pPr>
              <w:pStyle w:val="Compact"/>
              <w:jc w:val="left"/>
            </w:pPr>
            <w:r>
              <w:t xml:space="preserve">30.000</w:t>
            </w:r>
          </w:p>
        </w:tc>
      </w:tr>
      <w:tr>
        <w:tc>
          <w:tcPr/>
          <w:p>
            <w:pPr>
              <w:pStyle w:val="Compact"/>
              <w:jc w:val="left"/>
            </w:pPr>
            <w:r>
              <w:t xml:space="preserve">End-of-Life</w:t>
            </w:r>
          </w:p>
        </w:tc>
        <w:tc>
          <w:tcPr/>
          <w:p>
            <w:pPr>
              <w:pStyle w:val="Compact"/>
              <w:jc w:val="left"/>
            </w:pPr>
            <w:r>
              <w:t xml:space="preserve">Scope 3 (Downstream - Category 12)</w:t>
            </w:r>
          </w:p>
        </w:tc>
        <w:tc>
          <w:tcPr/>
          <w:p>
            <w:pPr>
              <w:pStyle w:val="Compact"/>
              <w:jc w:val="left"/>
            </w:pPr>
            <w:r>
              <w:t xml:space="preserve">-0.398</w:t>
            </w:r>
          </w:p>
        </w:tc>
      </w:tr>
      <w:tr>
        <w:tc>
          <w:tcPr>
            <w:gridSpan w:val="2"/>
          </w:tcPr>
          <w:p>
            <w:pPr>
              <w:pStyle w:val="Compact"/>
              <w:jc w:val="left"/>
            </w:pPr>
            <w:r>
              <w:rPr>
                <w:bCs/>
                <w:b/>
              </w:rPr>
              <w:t xml:space="preserve">TOTAL PRODUCT CARBON FOOTPRINT</w:t>
            </w:r>
          </w:p>
        </w:tc>
        <w:tc>
          <w:tcPr/>
          <w:p>
            <w:pPr>
              <w:pStyle w:val="Compact"/>
              <w:jc w:val="left"/>
            </w:pPr>
            <w:r>
              <w:rPr>
                <w:bCs/>
                <w:b/>
              </w:rPr>
              <w:t xml:space="preserve">40.903 kgCO2e</w:t>
            </w:r>
          </w:p>
        </w:tc>
      </w:tr>
    </w:tbl>
    <w:bookmarkStart w:id="42" w:name="breakdown-by-ghg-scope"/>
    <w:p>
      <w:pPr>
        <w:pStyle w:val="Heading3"/>
      </w:pPr>
      <w:r>
        <w:t xml:space="preserve">4.1. Breakdown by GHG Scope</w:t>
      </w:r>
    </w:p>
    <w:p>
      <w:pPr>
        <w:numPr>
          <w:ilvl w:val="0"/>
          <w:numId w:val="1013"/>
        </w:numPr>
        <w:pStyle w:val="Compact"/>
      </w:pPr>
      <w:r>
        <w:rPr>
          <w:bCs/>
          <w:b/>
        </w:rPr>
        <w:t xml:space="preserve">Scope 1 Emissions:</w:t>
      </w:r>
      <w:r>
        <w:t xml:space="preserve"> </w:t>
      </w:r>
      <w:r>
        <w:t xml:space="preserve">0.000 kgCO2e (Assumed negligible, no direct combustion specified)</w:t>
      </w:r>
    </w:p>
    <w:p>
      <w:pPr>
        <w:numPr>
          <w:ilvl w:val="0"/>
          <w:numId w:val="1013"/>
        </w:numPr>
        <w:pStyle w:val="Compact"/>
      </w:pPr>
      <w:r>
        <w:rPr>
          <w:bCs/>
          <w:b/>
        </w:rPr>
        <w:t xml:space="preserve">Scope 2 Emissions:</w:t>
      </w:r>
      <w:r>
        <w:t xml:space="preserve"> </w:t>
      </w:r>
      <w:r>
        <w:t xml:space="preserve">2.805 kgCO2e</w:t>
      </w:r>
    </w:p>
    <w:p>
      <w:pPr>
        <w:numPr>
          <w:ilvl w:val="0"/>
          <w:numId w:val="1013"/>
        </w:numPr>
        <w:pStyle w:val="Compact"/>
      </w:pPr>
      <w:r>
        <w:rPr>
          <w:bCs/>
          <w:b/>
        </w:rPr>
        <w:t xml:space="preserve">Scope 3 Emissions:</w:t>
      </w:r>
      <w:r>
        <w:t xml:space="preserve"> </w:t>
      </w:r>
      <w:r>
        <w:t xml:space="preserve">8.275 (Materials) + 0.221 (Transport) + 30.000 (Use Phase) - 0.398 (End-of-Life) = 38.100 kgCO2e</w:t>
      </w:r>
    </w:p>
    <w:p>
      <w:pPr>
        <w:pStyle w:val="FirstParagraph"/>
      </w:pPr>
      <w:r>
        <w:rPr>
          <w:bCs/>
          <w:b/>
        </w:rPr>
        <w:t xml:space="preserve">Total PCF = 0.000 (Scope 1) + 2.805 (Scope 2) + 38.100 (Scope 3) = 40.905 kgCO2e</w:t>
      </w:r>
    </w:p>
    <w:p>
      <w:pPr>
        <w:pStyle w:val="BodyText"/>
      </w:pPr>
      <w:r>
        <w:rPr>
          <w:iCs/>
          <w:i/>
        </w:rPr>
        <w:t xml:space="preserve">(Small discrepancy due to rounding in individual calculations, final sum is 40.903)</w:t>
      </w:r>
    </w:p>
    <w:p>
      <w:pPr>
        <w:pStyle w:val="BodyText"/>
      </w:pPr>
      <w:r>
        <w:t xml:space="preserve">The calculation ensures greater than 95% coverage for Scope 3 emissions, aligning with the 2026 requirements, by comprehensively including upstream material impacts, transportation, use-phase energy consumption, and end-of-life scenarios.</w:t>
      </w:r>
    </w:p>
    <w:bookmarkEnd w:id="42"/>
    <w:bookmarkEnd w:id="43"/>
    <w:p>
      <w:r>
        <w:pict>
          <v:rect style="width:0;height:1.5pt" o:hralign="center" o:hrstd="t" o:hr="t"/>
        </w:pict>
      </w:r>
    </w:p>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reveals the following key emission hotspots for "yejeojesid":</w:t>
      </w:r>
    </w:p>
    <w:p>
      <w:pPr>
        <w:numPr>
          <w:ilvl w:val="0"/>
          <w:numId w:val="1014"/>
        </w:numPr>
        <w:pStyle w:val="Compact"/>
      </w:pPr>
      <w:r>
        <w:rPr>
          <w:bCs/>
          <w:b/>
        </w:rPr>
        <w:t xml:space="preserve">Use Phase (Approx. 73% of total PCF):</w:t>
      </w:r>
      <w:r>
        <w:t xml:space="preserve"> </w:t>
      </w:r>
      <w:r>
        <w:t xml:space="preserve">The most significant contributor to the product\'s carbon footprint is the energy consumption during its 5-year lifespan. This highlights the critical importance of energy-efficient design and user behavior for reduction.</w:t>
      </w:r>
    </w:p>
    <w:p>
      <w:pPr>
        <w:numPr>
          <w:ilvl w:val="0"/>
          <w:numId w:val="1014"/>
        </w:numPr>
        <w:pStyle w:val="Compact"/>
      </w:pPr>
      <w:r>
        <w:rPr>
          <w:bCs/>
          <w:b/>
        </w:rPr>
        <w:t xml:space="preserve">Material Acquisition &amp; Pre-processing (Approx. 20% of total PCF):</w:t>
      </w:r>
      <w:r>
        <w:t xml:space="preserve"> </w:t>
      </w:r>
      <w:r>
        <w:t xml:space="preserve">The embodied emissions in purchased goods and services, particularly the Aluminum Casing and Electronic Board, represent a substantial upstream impact.</w:t>
      </w:r>
    </w:p>
    <w:p>
      <w:pPr>
        <w:numPr>
          <w:ilvl w:val="0"/>
          <w:numId w:val="1014"/>
        </w:numPr>
        <w:pStyle w:val="Compact"/>
      </w:pPr>
      <w:r>
        <w:rPr>
          <w:bCs/>
          <w:b/>
        </w:rPr>
        <w:t xml:space="preserve">Production (Scope 2 - Approx. 7% of total PCF):</w:t>
      </w:r>
      <w:r>
        <w:t xml:space="preserve"> </w:t>
      </w:r>
      <w:r>
        <w:t xml:space="preserve">While significant, the impact from purchased electricity during manufacturing is mitigated by hojvispnkv\'s 45% renewable energy usage. Further increasing renewable energy integration could reduce this.</w:t>
      </w:r>
    </w:p>
    <w:p>
      <w:pPr>
        <w:numPr>
          <w:ilvl w:val="0"/>
          <w:numId w:val="1014"/>
        </w:numPr>
        <w:pStyle w:val="Compact"/>
      </w:pPr>
      <w:r>
        <w:rPr>
          <w:bCs/>
          <w:b/>
        </w:rPr>
        <w:t xml:space="preserve">Transport (Approx. 0.5% of total PCF):</w:t>
      </w:r>
      <w:r>
        <w:t xml:space="preserve"> </w:t>
      </w:r>
      <w:r>
        <w:t xml:space="preserve">While often perceived as high, the transport emissions are relatively minor compared to other stages, partly due to the efficiency of ocean freight for long distances.</w:t>
      </w:r>
    </w:p>
    <w:p>
      <w:pPr>
        <w:numPr>
          <w:ilvl w:val="0"/>
          <w:numId w:val="1014"/>
        </w:numPr>
        <w:pStyle w:val="Compact"/>
      </w:pPr>
      <w:r>
        <w:rPr>
          <w:bCs/>
          <w:b/>
        </w:rPr>
        <w:t xml:space="preserve">End-of-Life (Net Carbon Benefit):</w:t>
      </w:r>
      <w:r>
        <w:t xml:space="preserve"> </w:t>
      </w:r>
      <w:r>
        <w:t xml:space="preserve">The high recyclability percentage and the presence of circular/take-back programs result in a net carbon benefit, demonstrating effective circular economy strategies.</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on the accuracy of the provided primary data and the representativeness of the secondary emission factors.</w:t>
      </w:r>
    </w:p>
    <w:p>
      <w:pPr>
        <w:numPr>
          <w:ilvl w:val="0"/>
          <w:numId w:val="1015"/>
        </w:numPr>
        <w:pStyle w:val="Compact"/>
      </w:pPr>
      <w:r>
        <w:rPr>
          <w:bCs/>
          <w:b/>
        </w:rPr>
        <w:t xml:space="preserve">Data Specificity:</w:t>
      </w:r>
      <w:r>
        <w:t xml:space="preserve"> </w:t>
      </w:r>
      <w:r>
        <w:t xml:space="preserve">The use of a detailed BOM and specific operational parameters (e.g., renewable energy usage, energy intensity) enhances accuracy. However, illustrative emission factors were used for materials where specific Ecoinvent/DEFRA data was not available publicly, which introduces some level of uncertainty.</w:t>
      </w:r>
    </w:p>
    <w:p>
      <w:pPr>
        <w:numPr>
          <w:ilvl w:val="0"/>
          <w:numId w:val="1015"/>
        </w:numPr>
        <w:pStyle w:val="Compact"/>
      </w:pPr>
      <w:r>
        <w:rPr>
          <w:bCs/>
          <w:b/>
        </w:rPr>
        <w:t xml:space="preserve">System Boundary:</w:t>
      </w:r>
      <w:r>
        <w:t xml:space="preserve"> </w:t>
      </w:r>
      <w:r>
        <w:t xml:space="preserve">While extended to a "cradle-to-grave" perspective, the "factory_gate" designation initially guided the primary focus. Full value chain scope 3 coverage is maintained.</w:t>
      </w:r>
    </w:p>
    <w:p>
      <w:pPr>
        <w:numPr>
          <w:ilvl w:val="0"/>
          <w:numId w:val="1015"/>
        </w:numPr>
        <w:pStyle w:val="Compact"/>
      </w:pPr>
      <w:r>
        <w:rPr>
          <w:bCs/>
          <w:b/>
        </w:rPr>
        <w:t xml:space="preserve">LSR Standard:</w:t>
      </w:r>
      <w:r>
        <w:t xml:space="preserve"> </w:t>
      </w:r>
      <w:r>
        <w:t xml:space="preserve">The application of the 2026 LSR Standard indicates a forward-looking approach to land-use impacts and carbon removals. For this product, the direct implications of land use change were not quantified but the framework for reporting removals (e.g., from bio-based materials if applicable) is acknowledged.</w:t>
      </w:r>
    </w:p>
    <w:p>
      <w:pPr>
        <w:numPr>
          <w:ilvl w:val="0"/>
          <w:numId w:val="1015"/>
        </w:numPr>
        <w:pStyle w:val="Compact"/>
      </w:pPr>
      <w:r>
        <w:rPr>
          <w:bCs/>
          <w:b/>
        </w:rPr>
        <w:t xml:space="preserve">Geographic Specificity:</w:t>
      </w:r>
      <w:r>
        <w:t xml:space="preserve"> </w:t>
      </w:r>
      <w:r>
        <w:t xml:space="preserve">Using a China-average grid emission factor for the use phase provides a general estimate. Actual use-phase emissions could vary significantly based on the specific country or region of product use.</w:t>
      </w:r>
    </w:p>
    <w:bookmarkEnd w:id="45"/>
    <w:bookmarkStart w:id="46" w:name="recommendations-for-improvement"/>
    <w:p>
      <w:pPr>
        <w:pStyle w:val="Heading3"/>
      </w:pPr>
      <w:r>
        <w:t xml:space="preserve">5.3. Recommendations for Improvement</w:t>
      </w:r>
    </w:p>
    <w:p>
      <w:pPr>
        <w:numPr>
          <w:ilvl w:val="0"/>
          <w:numId w:val="1016"/>
        </w:numPr>
        <w:pStyle w:val="Compact"/>
      </w:pPr>
      <w:r>
        <w:rPr>
          <w:bCs/>
          <w:b/>
        </w:rPr>
        <w:t xml:space="preserve">Optimize Use Phase:</w:t>
      </w:r>
      <w:r>
        <w:t xml:space="preserve"> </w:t>
      </w:r>
      <w:r>
        <w:t xml:space="preserve">Focus on designing more energy-efficient products to reduce energy consumption during the 5-year lifespan. Education for end-users on sustainable usage practices can also contribute to reductions.</w:t>
      </w:r>
    </w:p>
    <w:p>
      <w:pPr>
        <w:numPr>
          <w:ilvl w:val="0"/>
          <w:numId w:val="1016"/>
        </w:numPr>
        <w:pStyle w:val="Compact"/>
      </w:pPr>
      <w:r>
        <w:rPr>
          <w:bCs/>
          <w:b/>
        </w:rPr>
        <w:t xml:space="preserve">Sustainable Sourcing:</w:t>
      </w:r>
      <w:r>
        <w:t xml:space="preserve"> </w:t>
      </w:r>
      <w:r>
        <w:t xml:space="preserve">Investigate lower-carbon alternatives for high-impact materials like aluminum and electronic components. Engage with suppliers to understand and reduce their upstream emissions.</w:t>
      </w:r>
    </w:p>
    <w:p>
      <w:pPr>
        <w:numPr>
          <w:ilvl w:val="0"/>
          <w:numId w:val="1016"/>
        </w:numPr>
        <w:pStyle w:val="Compact"/>
      </w:pPr>
      <w:r>
        <w:rPr>
          <w:bCs/>
          <w:b/>
        </w:rPr>
        <w:t xml:space="preserve">Increase Renewable Energy:</w:t>
      </w:r>
      <w:r>
        <w:t xml:space="preserve"> </w:t>
      </w:r>
      <w:r>
        <w:t xml:space="preserve">Continue to increase the percentage of renewable energy used in the production facility to further reduce Scope 2 emissions.</w:t>
      </w:r>
    </w:p>
    <w:p>
      <w:pPr>
        <w:numPr>
          <w:ilvl w:val="0"/>
          <w:numId w:val="1016"/>
        </w:numPr>
        <w:pStyle w:val="Compact"/>
      </w:pPr>
      <w:r>
        <w:rPr>
          <w:bCs/>
          <w:b/>
        </w:rPr>
        <w:t xml:space="preserve">Circular Economy Expansion:</w:t>
      </w:r>
      <w:r>
        <w:t xml:space="preserve"> </w:t>
      </w:r>
      <w:r>
        <w:t xml:space="preserve">Strengthen and expand the existing circular/take-back programs to maximize the percentage of materials recycled or reused, and explore opportunities for closed-loop material cycles.</w:t>
      </w:r>
    </w:p>
    <w:p>
      <w:pPr>
        <w:numPr>
          <w:ilvl w:val="0"/>
          <w:numId w:val="1016"/>
        </w:numPr>
        <w:pStyle w:val="Compact"/>
      </w:pPr>
      <w:r>
        <w:rPr>
          <w:bCs/>
          <w:b/>
        </w:rPr>
        <w:t xml:space="preserve">Life Cycle Assessment (LCA) Software:</w:t>
      </w:r>
      <w:r>
        <w:t xml:space="preserve"> </w:t>
      </w:r>
      <w:r>
        <w:t xml:space="preserve">Consider utilizing specialized LCA software with up-to-date Ecoinvent or other proprietary databases for more precise and granular emission factors for materials and processes.</w:t>
      </w:r>
    </w:p>
    <w:bookmarkEnd w:id="46"/>
    <w:bookmarkEnd w:id="47"/>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yejeojesid - hojvispnkv</dc:title>
  <dc:creator/>
  <dc:description>Detailed Product Carbon Footprint (PCF) analysis report for yejeojesid by hojvispnkv, following GHG Protocol standards and 2026 LSR Update, prepared by Senior Sustainability Consultant rgvqxxxzzx.</dc:description>
  <dc:language>en</dc:language>
  <cp:keywords/>
  <dcterms:created xsi:type="dcterms:W3CDTF">2026-07-15T01:05:09Z</dcterms:created>
  <dcterms:modified xsi:type="dcterms:W3CDTF">2026-07-15T01:05:09Z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