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ydnvpszkwr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ydnvpszkwr</w:t>
      </w:r>
    </w:p>
    <w:p>
      <w:pPr>
        <w:pStyle w:val="BodyText"/>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kqspvvoujl</w:t>
      </w:r>
    </w:p>
    <w:p>
      <w:pPr>
        <w:pStyle w:val="BodyText"/>
      </w:pPr>
      <w:r>
        <w:rPr>
          <w:bCs/>
          <w:b/>
        </w:rPr>
        <w:t xml:space="preserve">Senior Sustainability Consultant:</w:t>
      </w:r>
      <w:r>
        <w:t xml:space="preserve"> </w:t>
      </w:r>
      <w:r>
        <w:t xml:space="preserve">ylqrvjspxe</w:t>
      </w:r>
    </w:p>
    <w:p>
      <w:pPr>
        <w:pStyle w:val="BodyText"/>
      </w:pPr>
      <w:r>
        <w:rPr>
          <w:iCs/>
          <w:i/>
        </w:rPr>
        <w:t xml:space="preserve">Disclaimer: This report is generated based on available data, specified parameters, and industry-standard emission factors. While every effort has been made to ensure accuracy, actual emissions may vary depending on specific operational details and real-time data.</w:t>
      </w:r>
    </w:p>
    <w:bookmarkEnd w:id="20"/>
    <w:bookmarkStart w:id="50" w:name="X9705ef81bd3a481d9a1c20a4f8042543cdee7c8"/>
    <w:p>
      <w:pPr>
        <w:pStyle w:val="Heading1"/>
      </w:pPr>
      <w:r>
        <w:t xml:space="preserve">Product Carbon Footprint Analysis Report: ydnvpszkwr</w:t>
      </w:r>
    </w:p>
    <w:p>
      <w:pPr>
        <w:pStyle w:val="FirstParagraph"/>
      </w:pPr>
      <w:r>
        <w:rPr>
          <w:bCs/>
          <w:b/>
        </w:rPr>
        <w:t xml:space="preserve">Generated Date:</w:t>
      </w:r>
      <w:r>
        <w:t xml:space="preserve"> </w:t>
      </w:r>
      <w:r>
        <w:t xml:space="preserve">May 20,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ydnvpszkwr, manufactured by kqspvvoujl. The analysis was performed by ylqrvjspxe, Senior Sustainability Consultant, in accordance with the Greenhouse Gas (GHG) Protocol standards and considering the forthcoming 2026 Land Sector and Removals (LSR) update. The primary objective is to quantify the greenhouse gas emissions across the product\'s lifecycle, identify key emission hotspots, and provide actionable insights for emission reduction. This assessment covers emissions from raw material extraction to end-of-life, with a focus on a "cradle-to-customer gate" interpretation for manufacturing and transport, and includes downstream use and end-of-life impacts as instructed by the parameters.</w:t>
      </w:r>
    </w:p>
    <w:p>
      <w:r>
        <w:pict>
          <v:rect style="width:0;height:1.5pt" o:hralign="center" o:hrstd="t" o:hr="t"/>
        </w:pict>
      </w:r>
    </w:p>
    <w:bookmarkEnd w:id="21"/>
    <w:bookmarkStart w:id="26" w:name="methodology-and-scope-definition"/>
    <w:p>
      <w:pPr>
        <w:pStyle w:val="Heading2"/>
      </w:pPr>
      <w:r>
        <w:t xml:space="preserve">1. Methodology and Scope Definition</w:t>
      </w:r>
    </w:p>
    <w:p>
      <w:pPr>
        <w:pStyle w:val="FirstParagraph"/>
      </w:pPr>
      <w:r>
        <w:t xml:space="preserve">The Product Carbon Footprint (PCF) analysis for ydnvpszkwr adheres strictly to the principles and requirements of the GHG Protocol, including categorization into Scope 1, Scope 2, and Scope 3 emissions. Furthermore, this analysis incorporates considerations for the 2026 Land Sector and Removals (LSR) Standard and aims for at least 95% coverage for Scope 3 reporting.</w:t>
      </w:r>
    </w:p>
    <w:bookmarkStart w:id="22" w:name="functional-unit"/>
    <w:p>
      <w:pPr>
        <w:pStyle w:val="Heading3"/>
      </w:pPr>
      <w:r>
        <w:t xml:space="preserve">1.1 Functional Unit</w:t>
      </w:r>
    </w:p>
    <w:p>
      <w:pPr>
        <w:pStyle w:val="FirstParagraph"/>
      </w:pPr>
      <w:r>
        <w:t xml:space="preserve">The functional unit for this PCF analysis is defined as:</w:t>
      </w:r>
      <w:r>
        <w:t xml:space="preserve"> </w:t>
      </w:r>
      <w:r>
        <w:rPr>
          <w:bCs/>
          <w:b/>
        </w:rPr>
        <w:t xml:space="preserve">1.0 unit of ydnvpszkwr</w:t>
      </w:r>
      <w:r>
        <w:t xml:space="preserve">.</w:t>
      </w:r>
    </w:p>
    <w:bookmarkEnd w:id="22"/>
    <w:bookmarkStart w:id="23" w:name="system-boundary"/>
    <w:p>
      <w:pPr>
        <w:pStyle w:val="Heading3"/>
      </w:pPr>
      <w:r>
        <w:t xml:space="preserve">1.2 System Boundary</w:t>
      </w:r>
    </w:p>
    <w:p>
      <w:pPr>
        <w:pStyle w:val="FirstParagraph"/>
      </w:pPr>
      <w:r>
        <w:t xml:space="preserve">The system boundary for this analysis is a comprehensive "cradle-to-grave" approach, encompassing all stages from raw material acquisition, through manufacturing, transportation, use, and end-of-life. While the stated "System Boundary: factory_gate" primarily pertains to the direct operational emissions of the manufacturer, kqspvvoujl, for the product\'s lifecycle, the analysis extends to downstream elements as specified by the detailed parameters. This ensures a holistic view of the product\'s environmental impact.</w:t>
      </w:r>
    </w:p>
    <w:bookmarkEnd w:id="23"/>
    <w:bookmarkStart w:id="24" w:name="geographic-scope"/>
    <w:p>
      <w:pPr>
        <w:pStyle w:val="Heading3"/>
      </w:pPr>
      <w:r>
        <w:t xml:space="preserve">1.3 Geographic Scope</w:t>
      </w:r>
    </w:p>
    <w:p>
      <w:pPr>
        <w:numPr>
          <w:ilvl w:val="0"/>
          <w:numId w:val="1001"/>
        </w:numPr>
        <w:pStyle w:val="Compact"/>
      </w:pPr>
      <w:r>
        <w:rPr>
          <w:bCs/>
          <w:b/>
        </w:rPr>
        <w:t xml:space="preserve">Final Production Country:</w:t>
      </w:r>
      <w:r>
        <w:t xml:space="preserve"> </w:t>
      </w:r>
      <w:r>
        <w:t xml:space="preserve">China</w:t>
      </w:r>
    </w:p>
    <w:p>
      <w:pPr>
        <w:numPr>
          <w:ilvl w:val="0"/>
          <w:numId w:val="1001"/>
        </w:numPr>
        <w:pStyle w:val="Compact"/>
      </w:pPr>
      <w:r>
        <w:rPr>
          <w:bCs/>
          <w:b/>
        </w:rPr>
        <w:t xml:space="preserve">Supply Chain Focus:</w:t>
      </w:r>
      <w:r>
        <w:t xml:space="preserve"> </w:t>
      </w:r>
      <w:r>
        <w:t xml:space="preserve">Europe Focused</w:t>
      </w:r>
    </w:p>
    <w:bookmarkEnd w:id="24"/>
    <w:bookmarkStart w:id="25" w:name="allocation"/>
    <w:p>
      <w:pPr>
        <w:pStyle w:val="Heading3"/>
      </w:pPr>
      <w:r>
        <w:t xml:space="preserve">1.4 Allocation</w:t>
      </w:r>
    </w:p>
    <w:p>
      <w:pPr>
        <w:pStyle w:val="FirstParagraph"/>
      </w:pPr>
      <w:r>
        <w:t xml:space="preserve">Emissions are allocated directly to the functional unit (1.0 unit of ydnvpszkwr). For co-product or multi-output processes, economic allocation or mass allocation is applied where appropriate, consistent with GHG Protocol guidance. Recycling benefits are accounted for using the "avoided burden" approach at the End-of-Life stage.</w:t>
      </w:r>
    </w:p>
    <w:p>
      <w:r>
        <w:pict>
          <v:rect style="width:0;height:1.5pt" o:hralign="center" o:hrstd="t" o:hr="t"/>
        </w:pict>
      </w:r>
    </w:p>
    <w:bookmarkEnd w:id="25"/>
    <w:bookmarkEnd w:id="26"/>
    <w:bookmarkStart w:id="32" w:name="X35745a8e252718d5a0d40cb3fbfce10aee0336d"/>
    <w:p>
      <w:pPr>
        <w:pStyle w:val="Heading2"/>
      </w:pPr>
      <w:r>
        <w:t xml:space="preserve">2. &amp; 3. Lifecycle Mapping (LCI Inventory Stages) &amp; Data Collection</w:t>
      </w:r>
    </w:p>
    <w:p>
      <w:pPr>
        <w:pStyle w:val="FirstParagraph"/>
      </w:pPr>
      <w:r>
        <w:t xml:space="preserve">This section details the inputs and processes involved in the lifecycle of ydnvpszkwr, categorizing them into relevant stages for emissions calculation. Primary data (from provided parameters) is prioritized, supplemented by secondary data (industry-average emission factors) where specific values are not available.</w:t>
      </w:r>
    </w:p>
    <w:bookmarkStart w:id="27" w:name="detailed-bill-of-materials-bom-ppdfnyef"/>
    <w:p>
      <w:pPr>
        <w:pStyle w:val="Heading3"/>
      </w:pPr>
      <w:r>
        <w:t xml:space="preserve">2.1 Detailed Bill of Materials (BOM): ppdfnyef</w:t>
      </w:r>
    </w:p>
    <w:p>
      <w:pPr>
        <w:pStyle w:val="FirstParagraph"/>
      </w:pPr>
      <w:r>
        <w:t xml:space="preserve">The material composition is a significant contributor to the product\'s carbon footprint. The provided Bill of Materials (BOM) for ydnvpszkwr is used for high-accuracy material impact calculation. The "Total Carbon" value provided for each item is directly used as its material-related emission contribution (Scope 3 Upstream), reflecting embedded emissions from raw material extraction and processing up to the point of material supply.</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2</w:t>
            </w:r>
          </w:p>
        </w:tc>
        <w:tc>
          <w:tcPr/>
          <w:p>
            <w:pPr>
              <w:pStyle w:val="Compact"/>
              <w:jc w:val="left"/>
            </w:pPr>
            <w:r>
              <w:t xml:space="preserve">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w:t>
            </w:r>
          </w:p>
        </w:tc>
      </w:tr>
      <w:tr>
        <w:tc>
          <w:tcPr/>
          <w:p>
            <w:pPr>
              <w:pStyle w:val="Compact"/>
              <w:jc w:val="left"/>
            </w:pPr>
            <w:r>
              <w:t xml:space="preserve">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w:t>
            </w:r>
          </w:p>
        </w:tc>
      </w:tr>
    </w:tbl>
    <w:p>
      <w:pPr>
        <w:pStyle w:val="BodyText"/>
      </w:pPr>
      <w:r>
        <w:rPr>
          <w:bCs/>
          <w:b/>
        </w:rPr>
        <w:t xml:space="preserve">Total material mass:</w:t>
      </w:r>
      <w:r>
        <w:t xml:space="preserve"> </w:t>
      </w:r>
      <w:r>
        <w:t xml:space="preserve">0.5 kg (Aluminum) + 0.2 kg (Plastic) + 1.0 unit (Circuit Board) + 0.1 kg (Copper Wire) = 0.8 kg physical mass for the specified items (excluding circuit board unit mass, assuming 1 unit is negligible mass or covered by its carbon factor).</w:t>
      </w:r>
    </w:p>
    <w:bookmarkEnd w:id="27"/>
    <w:bookmarkStart w:id="28" w:name="manufacturingproduction-phase-data"/>
    <w:p>
      <w:pPr>
        <w:pStyle w:val="Heading3"/>
      </w:pPr>
      <w:r>
        <w:t xml:space="preserve">2.2 Manufacturing/Production Phase Data</w:t>
      </w:r>
    </w:p>
    <w:p>
      <w:pPr>
        <w:numPr>
          <w:ilvl w:val="0"/>
          <w:numId w:val="1002"/>
        </w:numPr>
        <w:pStyle w:val="Compact"/>
      </w:pPr>
      <w:r>
        <w:rPr>
          <w:bCs/>
          <w:b/>
        </w:rPr>
        <w:t xml:space="preserve">Energy Intensity (kWh/unit):</w:t>
      </w:r>
      <w:r>
        <w:t xml:space="preserve"> </w:t>
      </w:r>
      <w:r>
        <w:t xml:space="preserve">15 kWh/unit</w:t>
      </w:r>
    </w:p>
    <w:p>
      <w:pPr>
        <w:numPr>
          <w:ilvl w:val="0"/>
          <w:numId w:val="1002"/>
        </w:numPr>
        <w:pStyle w:val="Compact"/>
      </w:pPr>
      <w:r>
        <w:rPr>
          <w:bCs/>
          <w:b/>
        </w:rPr>
        <w:t xml:space="preserve">Renewable Energy Usage:</w:t>
      </w:r>
      <w:r>
        <w:t xml:space="preserve"> </w:t>
      </w:r>
      <w:r>
        <w:t xml:space="preserve">60%</w:t>
      </w:r>
    </w:p>
    <w:p>
      <w:pPr>
        <w:numPr>
          <w:ilvl w:val="0"/>
          <w:numId w:val="1002"/>
        </w:numPr>
        <w:pStyle w:val="Compact"/>
      </w:pPr>
      <w:r>
        <w:rPr>
          <w:bCs/>
          <w:b/>
        </w:rPr>
        <w:t xml:space="preserve">Geographic Location (Production):</w:t>
      </w:r>
      <w:r>
        <w:t xml:space="preserve"> </w:t>
      </w:r>
      <w:r>
        <w:t xml:space="preserve">China</w:t>
      </w:r>
    </w:p>
    <w:p>
      <w:pPr>
        <w:numPr>
          <w:ilvl w:val="0"/>
          <w:numId w:val="1002"/>
        </w:numPr>
        <w:pStyle w:val="Compact"/>
      </w:pPr>
      <w:r>
        <w:rPr>
          <w:bCs/>
          <w:b/>
        </w:rPr>
        <w:t xml:space="preserve">Grid Electricity Emission Factor (China):</w:t>
      </w:r>
      <w:r>
        <w:t xml:space="preserve"> </w:t>
      </w:r>
      <w:r>
        <w:t xml:space="preserve">0.6205 kg CO2e/kWh (2023 national average)</w:t>
      </w:r>
    </w:p>
    <w:p>
      <w:pPr>
        <w:numPr>
          <w:ilvl w:val="0"/>
          <w:numId w:val="1002"/>
        </w:numPr>
        <w:pStyle w:val="Compact"/>
      </w:pPr>
      <w:r>
        <w:rPr>
          <w:bCs/>
          <w:b/>
        </w:rPr>
        <w:t xml:space="preserve">Non-renewable energy share:</w:t>
      </w:r>
      <w:r>
        <w:t xml:space="preserve"> </w:t>
      </w:r>
      <w:r>
        <w:t xml:space="preserve">100% - 60% = 40%</w:t>
      </w:r>
    </w:p>
    <w:bookmarkEnd w:id="28"/>
    <w:bookmarkStart w:id="29" w:name="Xcbecca7562c7511a449e5206355f1be8ba526c3"/>
    <w:p>
      <w:pPr>
        <w:pStyle w:val="Heading3"/>
      </w:pPr>
      <w:r>
        <w:t xml:space="preserve">2.3 Transport Logistics Data (Scope 3 Upstream &amp; Downstream)</w:t>
      </w:r>
    </w:p>
    <w:p>
      <w:pPr>
        <w:numPr>
          <w:ilvl w:val="0"/>
          <w:numId w:val="1003"/>
        </w:numPr>
        <w:pStyle w:val="Compact"/>
      </w:pPr>
      <w:r>
        <w:rPr>
          <w:bCs/>
          <w:b/>
        </w:rPr>
        <w:t xml:space="preserve">Primary Transport Mode:</w:t>
      </w:r>
      <w:r>
        <w:t xml:space="preserve"> </w:t>
      </w:r>
      <w:r>
        <w:t xml:space="preserve">Ocean Freight (Container Ship)</w:t>
      </w:r>
    </w:p>
    <w:p>
      <w:pPr>
        <w:numPr>
          <w:ilvl w:val="0"/>
          <w:numId w:val="1003"/>
        </w:numPr>
        <w:pStyle w:val="Compact"/>
      </w:pPr>
      <w:r>
        <w:rPr>
          <w:bCs/>
          <w:b/>
        </w:rPr>
        <w:t xml:space="preserve">Primary Transport Distance:</w:t>
      </w:r>
      <w:r>
        <w:t xml:space="preserve"> </w:t>
      </w:r>
      <w:r>
        <w:t xml:space="preserve">10000 km</w:t>
      </w:r>
    </w:p>
    <w:p>
      <w:pPr>
        <w:numPr>
          <w:ilvl w:val="0"/>
          <w:numId w:val="1003"/>
        </w:numPr>
        <w:pStyle w:val="Compact"/>
      </w:pPr>
      <w:r>
        <w:rPr>
          <w:bCs/>
          <w:b/>
        </w:rPr>
        <w:t xml:space="preserve">Last-Mile Delivery Channel:</w:t>
      </w:r>
      <w:r>
        <w:t xml:space="preserve"> </w:t>
      </w:r>
      <w:r>
        <w:t xml:space="preserve">Light Commercial Vehicle (Diesel)</w:t>
      </w:r>
    </w:p>
    <w:p>
      <w:pPr>
        <w:numPr>
          <w:ilvl w:val="0"/>
          <w:numId w:val="1003"/>
        </w:numPr>
        <w:pStyle w:val="Compact"/>
      </w:pPr>
      <w:r>
        <w:rPr>
          <w:bCs/>
          <w:b/>
        </w:rPr>
        <w:t xml:space="preserve">Assumed Product Weight for Transport:</w:t>
      </w:r>
      <w:r>
        <w:t xml:space="preserve"> </w:t>
      </w:r>
      <w:r>
        <w:t xml:space="preserve">1.0 kg (Based on approximate sum of BOM item masses, for transport calculations)</w:t>
      </w:r>
    </w:p>
    <w:p>
      <w:pPr>
        <w:numPr>
          <w:ilvl w:val="0"/>
          <w:numId w:val="1003"/>
        </w:numPr>
        <w:pStyle w:val="Compact"/>
      </w:pPr>
      <w:r>
        <w:rPr>
          <w:bCs/>
          <w:b/>
        </w:rPr>
        <w:t xml:space="preserve">Ocean Freight Emission Factor:</w:t>
      </w:r>
      <w:r>
        <w:t xml:space="preserve"> </w:t>
      </w:r>
      <w:r>
        <w:t xml:space="preserve">0.019 kg CO2e/tonne-km</w:t>
      </w:r>
    </w:p>
    <w:p>
      <w:pPr>
        <w:numPr>
          <w:ilvl w:val="0"/>
          <w:numId w:val="1003"/>
        </w:numPr>
        <w:pStyle w:val="Compact"/>
      </w:pPr>
      <w:r>
        <w:rPr>
          <w:bCs/>
          <w:b/>
        </w:rPr>
        <w:t xml:space="preserve">Light Commercial Vehicle (Diesel) Emission Factor:</w:t>
      </w:r>
      <w:r>
        <w:t xml:space="preserve"> </w:t>
      </w:r>
      <w:r>
        <w:t xml:space="preserve">0.15 kg CO2e/tonne-km (Representative average for last-mile road freight)</w:t>
      </w:r>
    </w:p>
    <w:bookmarkEnd w:id="29"/>
    <w:bookmarkStart w:id="30" w:name="use-phase-data-scope-3-downstream"/>
    <w:p>
      <w:pPr>
        <w:pStyle w:val="Heading3"/>
      </w:pPr>
      <w:r>
        <w:t xml:space="preserve">2.4 Use Phase Data (Scope 3 Downstream)</w:t>
      </w:r>
    </w:p>
    <w:p>
      <w:pPr>
        <w:numPr>
          <w:ilvl w:val="0"/>
          <w:numId w:val="1004"/>
        </w:numPr>
        <w:pStyle w:val="Compact"/>
      </w:pPr>
      <w:r>
        <w:rPr>
          <w:bCs/>
          <w:b/>
        </w:rPr>
        <w:t xml:space="preserve">Product Lifespan:</w:t>
      </w:r>
      <w:r>
        <w:t xml:space="preserve"> </w:t>
      </w:r>
      <w:r>
        <w:t xml:space="preserve">5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Assumed Grid Electricity for Use Phase (Global Average/User Location):</w:t>
      </w:r>
      <w:r>
        <w:t xml:space="preserve"> </w:t>
      </w:r>
      <w:r>
        <w:t xml:space="preserve">For illustrative purposes, using China\'s average of 0.6205 kg CO2e/kWh, as user location is not specified beyond "Europe Focused" for supply chain. Actual user energy mix may vary.</w:t>
      </w:r>
    </w:p>
    <w:bookmarkEnd w:id="30"/>
    <w:bookmarkStart w:id="31" w:name="X0b1a7869ec5c89eda6252c7ad7e638ee66010db"/>
    <w:p>
      <w:pPr>
        <w:pStyle w:val="Heading3"/>
      </w:pPr>
      <w:r>
        <w:t xml:space="preserve">2.5 End-of-Life (EoL) Scenarios (Scope 3 Downstream)</w:t>
      </w:r>
    </w:p>
    <w:p>
      <w:pPr>
        <w:numPr>
          <w:ilvl w:val="0"/>
          <w:numId w:val="1005"/>
        </w:numPr>
        <w:pStyle w:val="Compact"/>
      </w:pPr>
      <w:r>
        <w:rPr>
          <w:bCs/>
          <w:b/>
        </w:rPr>
        <w:t xml:space="preserve">Recyclability Percentage:</w:t>
      </w:r>
      <w:r>
        <w:t xml:space="preserve"> </w:t>
      </w:r>
      <w:r>
        <w:t xml:space="preserve">75%</w:t>
      </w:r>
    </w:p>
    <w:p>
      <w:pPr>
        <w:numPr>
          <w:ilvl w:val="0"/>
          <w:numId w:val="1005"/>
        </w:numPr>
        <w:pStyle w:val="Compact"/>
      </w:pPr>
      <w:r>
        <w:rPr>
          <w:bCs/>
          <w:b/>
        </w:rPr>
        <w:t xml:space="preserve">Circular/Take-back Programs:</w:t>
      </w:r>
      <w:r>
        <w:t xml:space="preserve"> </w:t>
      </w:r>
      <w:r>
        <w:t xml:space="preserve">Yes, product take-back and refurbishment program in place.</w:t>
      </w:r>
    </w:p>
    <w:p>
      <w:pPr>
        <w:numPr>
          <w:ilvl w:val="0"/>
          <w:numId w:val="1005"/>
        </w:numPr>
        <w:pStyle w:val="Compact"/>
      </w:pPr>
      <w:r>
        <w:rPr>
          <w:bCs/>
          <w:b/>
        </w:rPr>
        <w:t xml:space="preserve">Landfilling Plastic Emission Factor:</w:t>
      </w:r>
      <w:r>
        <w:t xml:space="preserve"> </w:t>
      </w:r>
      <w:r>
        <w:t xml:space="preserve">0.033 kg CO2e/kg (for inert plastic waste)</w:t>
      </w:r>
    </w:p>
    <w:p>
      <w:pPr>
        <w:numPr>
          <w:ilvl w:val="0"/>
          <w:numId w:val="1005"/>
        </w:numPr>
        <w:pStyle w:val="Compact"/>
      </w:pPr>
      <w:r>
        <w:rPr>
          <w:bCs/>
          <w:b/>
        </w:rPr>
        <w:t xml:space="preserve">Landfilling Metal Emission Factor:</w:t>
      </w:r>
      <w:r>
        <w:t xml:space="preserve"> </w:t>
      </w:r>
      <w:r>
        <w:t xml:space="preserve">0.02 kg CO2e/kg (for mixed metals)</w:t>
      </w:r>
    </w:p>
    <w:p>
      <w:pPr>
        <w:numPr>
          <w:ilvl w:val="0"/>
          <w:numId w:val="1005"/>
        </w:numPr>
        <w:pStyle w:val="Compact"/>
      </w:pPr>
      <w:r>
        <w:rPr>
          <w:bCs/>
          <w:b/>
        </w:rPr>
        <w:t xml:space="preserve">Avoided Emissions from Plastic Recycling:</w:t>
      </w:r>
      <w:r>
        <w:t xml:space="preserve"> </w:t>
      </w:r>
      <w:r>
        <w:t xml:space="preserve">-1.5 kg CO2e/kg (representative credit from virgin plastic production offset)</w:t>
      </w:r>
    </w:p>
    <w:p>
      <w:pPr>
        <w:numPr>
          <w:ilvl w:val="0"/>
          <w:numId w:val="1005"/>
        </w:numPr>
        <w:pStyle w:val="Compact"/>
      </w:pPr>
      <w:r>
        <w:rPr>
          <w:bCs/>
          <w:b/>
        </w:rPr>
        <w:t xml:space="preserve">Avoided Emissions from Aluminum Recycling:</w:t>
      </w:r>
      <w:r>
        <w:t xml:space="preserve"> </w:t>
      </w:r>
      <w:r>
        <w:t xml:space="preserve">-8.0 kg CO2e/kg (representative credit from virgin aluminum production offset)</w:t>
      </w:r>
    </w:p>
    <w:p>
      <w:pPr>
        <w:pStyle w:val="FirstParagraph"/>
      </w:pPr>
      <w:r>
        <w:rPr>
          <w:iCs/>
          <w:i/>
        </w:rPr>
        <w:t xml:space="preserve">Note: Specific emission factors for Ecoinvent/DEFRA for each material and process were not provided, hence representative industry averages have been used and cited where possible. For the BOM, the provided "Total Carbon" is used directly.</w:t>
      </w:r>
    </w:p>
    <w:p>
      <w:r>
        <w:pict>
          <v:rect style="width:0;height:1.5pt" o:hralign="center" o:hrstd="t" o:hr="t"/>
        </w:pict>
      </w:r>
    </w:p>
    <w:bookmarkEnd w:id="31"/>
    <w:bookmarkEnd w:id="32"/>
    <w:bookmarkStart w:id="46" w:name="emission-calculation"/>
    <w:p>
      <w:pPr>
        <w:pStyle w:val="Heading2"/>
      </w:pPr>
      <w:r>
        <w:t xml:space="preserve">4. Emission Calculation</w:t>
      </w:r>
    </w:p>
    <w:p>
      <w:pPr>
        <w:pStyle w:val="FirstParagraph"/>
      </w:pPr>
      <w:r>
        <w:t xml:space="preserve">The emissions are calculated for each stage of the product\'s lifecycle and categorized according to the GHG Protocol (Scope 1, 2, 3).</w:t>
      </w:r>
    </w:p>
    <w:bookmarkStart w:id="33" w:name="X18038ae8237b750cd393d6fb49a6c5b94f344cf"/>
    <w:p>
      <w:pPr>
        <w:pStyle w:val="Heading3"/>
      </w:pPr>
      <w:r>
        <w:t xml:space="preserve">4.1 Material Acquisition and Pre-processing (Scope 3 Upstream)</w:t>
      </w:r>
    </w:p>
    <w:p>
      <w:pPr>
        <w:pStyle w:val="FirstParagraph"/>
      </w:pPr>
      <w:r>
        <w:t xml:space="preserve">Based on the provided BOM, the "Total Carbon" for each item directly contributes to the emissions from material acquisition.</w:t>
      </w:r>
    </w:p>
    <w:p>
      <w:pPr>
        <w:numPr>
          <w:ilvl w:val="0"/>
          <w:numId w:val="1006"/>
        </w:numPr>
        <w:pStyle w:val="Compact"/>
      </w:pPr>
      <w:r>
        <w:t xml:space="preserve">Aluminum Casing: 4.0 kg CO2e</w:t>
      </w:r>
    </w:p>
    <w:p>
      <w:pPr>
        <w:numPr>
          <w:ilvl w:val="0"/>
          <w:numId w:val="1006"/>
        </w:numPr>
        <w:pStyle w:val="Compact"/>
      </w:pPr>
      <w:r>
        <w:t xml:space="preserve">Plastic Housing: 0.7 kg CO2e</w:t>
      </w:r>
    </w:p>
    <w:p>
      <w:pPr>
        <w:numPr>
          <w:ilvl w:val="0"/>
          <w:numId w:val="1006"/>
        </w:numPr>
        <w:pStyle w:val="Compact"/>
      </w:pPr>
      <w:r>
        <w:t xml:space="preserve">Circuit Board: 1.2 kg CO2e</w:t>
      </w:r>
    </w:p>
    <w:p>
      <w:pPr>
        <w:numPr>
          <w:ilvl w:val="0"/>
          <w:numId w:val="1006"/>
        </w:numPr>
        <w:pStyle w:val="Compact"/>
      </w:pPr>
      <w:r>
        <w:t xml:space="preserve">Copper Wire: 0.5 kg CO2e</w:t>
      </w:r>
    </w:p>
    <w:p>
      <w:pPr>
        <w:pStyle w:val="FirstParagraph"/>
      </w:pPr>
      <w:r>
        <w:rPr>
          <w:bCs/>
          <w:b/>
        </w:rPr>
        <w:t xml:space="preserve">Total Material Emissions:</w:t>
      </w:r>
      <w:r>
        <w:t xml:space="preserve"> </w:t>
      </w:r>
      <w:r>
        <w:t xml:space="preserve">4.0 + 0.7 + 1.2 + 0.5 =</w:t>
      </w:r>
      <w:r>
        <w:t xml:space="preserve"> </w:t>
      </w:r>
      <w:r>
        <w:rPr>
          <w:bCs/>
          <w:b/>
        </w:rPr>
        <w:t xml:space="preserve">6.4 kg CO2e</w:t>
      </w:r>
    </w:p>
    <w:bookmarkEnd w:id="33"/>
    <w:bookmarkStart w:id="34" w:name="manufacturingproduction-phase-scope-1-2"/>
    <w:p>
      <w:pPr>
        <w:pStyle w:val="Heading3"/>
      </w:pPr>
      <w:r>
        <w:t xml:space="preserve">4.2 Manufacturing/Production Phase (Scope 1 &amp; 2)</w:t>
      </w:r>
    </w:p>
    <w:p>
      <w:pPr>
        <w:pStyle w:val="FirstParagraph"/>
      </w:pPr>
      <w:r>
        <w:t xml:space="preserve">Emissions from manufacturing are primarily due to purchased electricity (Scope 2). Direct (Scope 1) emissions from on-site combustion or processes are assumed to be negligible as no specific data was provided, or implicitly covered by the energy intensity if it includes all process energy.</w:t>
      </w:r>
    </w:p>
    <w:p>
      <w:pPr>
        <w:numPr>
          <w:ilvl w:val="0"/>
          <w:numId w:val="1007"/>
        </w:numPr>
        <w:pStyle w:val="Compact"/>
      </w:pPr>
      <w:r>
        <w:t xml:space="preserve">Total Energy Intensity: 15 kWh/unit</w:t>
      </w:r>
    </w:p>
    <w:p>
      <w:pPr>
        <w:numPr>
          <w:ilvl w:val="0"/>
          <w:numId w:val="1007"/>
        </w:numPr>
        <w:pStyle w:val="Compact"/>
      </w:pPr>
      <w:r>
        <w:t xml:space="preserve">Renewable Energy Usage: 60%</w:t>
      </w:r>
    </w:p>
    <w:p>
      <w:pPr>
        <w:numPr>
          <w:ilvl w:val="0"/>
          <w:numId w:val="1007"/>
        </w:numPr>
        <w:pStyle w:val="Compact"/>
      </w:pPr>
      <w:r>
        <w:t xml:space="preserve">Non-renewable energy: 15 kWh/unit * (1 - 0.60) = 6 kWh/unit</w:t>
      </w:r>
    </w:p>
    <w:p>
      <w:pPr>
        <w:numPr>
          <w:ilvl w:val="0"/>
          <w:numId w:val="1007"/>
        </w:numPr>
        <w:pStyle w:val="Compact"/>
      </w:pPr>
      <w:r>
        <w:t xml:space="preserve">Renewable energy: 15 kWh/unit * 0.60 = 9 kWh/unit</w:t>
      </w:r>
    </w:p>
    <w:p>
      <w:pPr>
        <w:numPr>
          <w:ilvl w:val="0"/>
          <w:numId w:val="1007"/>
        </w:numPr>
        <w:pStyle w:val="Compact"/>
      </w:pPr>
      <w:r>
        <w:t xml:space="preserve">Grid Emission Factor (China): 0.6205 kg CO2e/kWh</w:t>
      </w:r>
    </w:p>
    <w:p>
      <w:pPr>
        <w:pStyle w:val="FirstParagraph"/>
      </w:pPr>
      <w:r>
        <w:rPr>
          <w:bCs/>
          <w:b/>
        </w:rPr>
        <w:t xml:space="preserve">Production Emissions (Scope 2):</w:t>
      </w:r>
      <w:r>
        <w:t xml:space="preserve"> </w:t>
      </w:r>
      <w:r>
        <w:t xml:space="preserve">6 kWh/unit * 0.6205 kg CO2e/kWh =</w:t>
      </w:r>
      <w:r>
        <w:t xml:space="preserve"> </w:t>
      </w:r>
      <w:r>
        <w:rPr>
          <w:bCs/>
          <w:b/>
        </w:rPr>
        <w:t xml:space="preserve">3.723 kg CO2e</w:t>
      </w:r>
    </w:p>
    <w:p>
      <w:pPr>
        <w:pStyle w:val="BodyText"/>
      </w:pPr>
      <w:r>
        <w:rPr>
          <w:iCs/>
          <w:i/>
        </w:rPr>
        <w:t xml:space="preserve">Note: The 60% renewable energy usage is assumed to offset emissions for that portion of electricity. This calculation reflects the emissions from the non-renewable portion of purchased electricity.</w:t>
      </w:r>
    </w:p>
    <w:bookmarkEnd w:id="34"/>
    <w:bookmarkStart w:id="37" w:name="Xa72cd89f200eee69afd134ad22c65583d62e21f"/>
    <w:p>
      <w:pPr>
        <w:pStyle w:val="Heading3"/>
      </w:pPr>
      <w:r>
        <w:t xml:space="preserve">4.3 Transportation (Scope 3 Upstream &amp; Downstream)</w:t>
      </w:r>
    </w:p>
    <w:p>
      <w:pPr>
        <w:pStyle w:val="FirstParagraph"/>
      </w:pPr>
      <w:r>
        <w:t xml:space="preserve">Transportation emissions include both inbound logistics (e.g., component delivery - implicitly covered in BOM\'s "Total Carbon") and outbound logistics (finished product delivery to customer). For this analysis, we focus on the explicit transport parameters provided for the finished product. Assuming a product weight of 1.0 kg for transportation calculations.</w:t>
      </w:r>
    </w:p>
    <w:bookmarkStart w:id="35" w:name="primary-transport-ocean-freight"/>
    <w:p>
      <w:pPr>
        <w:pStyle w:val="Heading4"/>
      </w:pPr>
      <w:r>
        <w:t xml:space="preserve">4.3.1 Primary Transport (Ocean Freight)</w:t>
      </w:r>
    </w:p>
    <w:p>
      <w:pPr>
        <w:numPr>
          <w:ilvl w:val="0"/>
          <w:numId w:val="1008"/>
        </w:numPr>
        <w:pStyle w:val="Compact"/>
      </w:pPr>
      <w:r>
        <w:t xml:space="preserve">Mode: Ocean Freight (Container Ship)</w:t>
      </w:r>
    </w:p>
    <w:p>
      <w:pPr>
        <w:numPr>
          <w:ilvl w:val="0"/>
          <w:numId w:val="1008"/>
        </w:numPr>
        <w:pStyle w:val="Compact"/>
      </w:pPr>
      <w:r>
        <w:t xml:space="preserve">Distance: 10000 km</w:t>
      </w:r>
    </w:p>
    <w:p>
      <w:pPr>
        <w:numPr>
          <w:ilvl w:val="0"/>
          <w:numId w:val="1008"/>
        </w:numPr>
        <w:pStyle w:val="Compact"/>
      </w:pPr>
      <w:r>
        <w:t xml:space="preserve">Product Weight: 1.0 kg = 0.001 tonnes</w:t>
      </w:r>
    </w:p>
    <w:p>
      <w:pPr>
        <w:numPr>
          <w:ilvl w:val="0"/>
          <w:numId w:val="1008"/>
        </w:numPr>
        <w:pStyle w:val="Compact"/>
      </w:pPr>
      <w:r>
        <w:t xml:space="preserve">Emission Factor: 0.019 kg CO2e/tonne-km</w:t>
      </w:r>
    </w:p>
    <w:p>
      <w:pPr>
        <w:pStyle w:val="FirstParagraph"/>
      </w:pPr>
      <w:r>
        <w:rPr>
          <w:bCs/>
          <w:b/>
        </w:rPr>
        <w:t xml:space="preserve">Ocean Freight Emissions (Scope 3 Downstream):</w:t>
      </w:r>
      <w:r>
        <w:t xml:space="preserve"> </w:t>
      </w:r>
      <w:r>
        <w:t xml:space="preserve">0.001 tonnes * 10000 km * 0.019 kg CO2e/tonne-km =</w:t>
      </w:r>
      <w:r>
        <w:t xml:space="preserve"> </w:t>
      </w:r>
      <w:r>
        <w:rPr>
          <w:bCs/>
          <w:b/>
        </w:rPr>
        <w:t xml:space="preserve">0.19 kg CO2e</w:t>
      </w:r>
    </w:p>
    <w:bookmarkEnd w:id="35"/>
    <w:bookmarkStart w:id="36" w:name="last-mile-delivery"/>
    <w:p>
      <w:pPr>
        <w:pStyle w:val="Heading4"/>
      </w:pPr>
      <w:r>
        <w:t xml:space="preserve">4.3.2 Last-Mile Delivery</w:t>
      </w:r>
    </w:p>
    <w:p>
      <w:pPr>
        <w:numPr>
          <w:ilvl w:val="0"/>
          <w:numId w:val="1009"/>
        </w:numPr>
        <w:pStyle w:val="Compact"/>
      </w:pPr>
      <w:r>
        <w:t xml:space="preserve">Channel: Light Commercial Vehicle (Diesel)</w:t>
      </w:r>
    </w:p>
    <w:p>
      <w:pPr>
        <w:numPr>
          <w:ilvl w:val="0"/>
          <w:numId w:val="1009"/>
        </w:numPr>
        <w:pStyle w:val="Compact"/>
      </w:pPr>
      <w:r>
        <w:t xml:space="preserve">Assumed Last-Mile Distance: 100 km (illustrative for typical last-mile)</w:t>
      </w:r>
    </w:p>
    <w:p>
      <w:pPr>
        <w:numPr>
          <w:ilvl w:val="0"/>
          <w:numId w:val="1009"/>
        </w:numPr>
        <w:pStyle w:val="Compact"/>
      </w:pPr>
      <w:r>
        <w:t xml:space="preserve">Product Weight: 1.0 kg = 0.001 tonnes</w:t>
      </w:r>
    </w:p>
    <w:p>
      <w:pPr>
        <w:numPr>
          <w:ilvl w:val="0"/>
          <w:numId w:val="1009"/>
        </w:numPr>
        <w:pStyle w:val="Compact"/>
      </w:pPr>
      <w:r>
        <w:t xml:space="preserve">Emission Factor: 0.15 kg CO2e/tonne-km</w:t>
      </w:r>
    </w:p>
    <w:p>
      <w:pPr>
        <w:pStyle w:val="FirstParagraph"/>
      </w:pPr>
      <w:r>
        <w:rPr>
          <w:bCs/>
          <w:b/>
        </w:rPr>
        <w:t xml:space="preserve">Last-Mile Delivery Emissions (Scope 3 Downstream):</w:t>
      </w:r>
      <w:r>
        <w:t xml:space="preserve"> </w:t>
      </w:r>
      <w:r>
        <w:t xml:space="preserve">0.001 tonnes * 100 km * 0.15 kg CO2e/tonne-km =</w:t>
      </w:r>
      <w:r>
        <w:t xml:space="preserve"> </w:t>
      </w:r>
      <w:r>
        <w:rPr>
          <w:bCs/>
          <w:b/>
        </w:rPr>
        <w:t xml:space="preserve">0.015 kg CO2e</w:t>
      </w:r>
    </w:p>
    <w:p>
      <w:pPr>
        <w:pStyle w:val="BodyText"/>
      </w:pPr>
      <w:r>
        <w:rPr>
          <w:bCs/>
          <w:b/>
        </w:rPr>
        <w:t xml:space="preserve">Total Transport Emissions:</w:t>
      </w:r>
      <w:r>
        <w:t xml:space="preserve"> </w:t>
      </w:r>
      <w:r>
        <w:t xml:space="preserve">0.19 + 0.015 =</w:t>
      </w:r>
      <w:r>
        <w:t xml:space="preserve"> </w:t>
      </w:r>
      <w:r>
        <w:rPr>
          <w:bCs/>
          <w:b/>
        </w:rPr>
        <w:t xml:space="preserve">0.205 kg CO2e</w:t>
      </w:r>
    </w:p>
    <w:bookmarkEnd w:id="36"/>
    <w:bookmarkEnd w:id="37"/>
    <w:bookmarkStart w:id="38" w:name="use-phase-scope-3-downstream"/>
    <w:p>
      <w:pPr>
        <w:pStyle w:val="Heading3"/>
      </w:pPr>
      <w:r>
        <w:t xml:space="preserve">4.4 Use Phase (Scope 3 Downstream)</w:t>
      </w:r>
    </w:p>
    <w:p>
      <w:pPr>
        <w:pStyle w:val="FirstParagraph"/>
      </w:pPr>
      <w:r>
        <w:t xml:space="preserve">Emissions during the use phase result from the energy consumed by the product over its lifespan.</w:t>
      </w:r>
    </w:p>
    <w:p>
      <w:pPr>
        <w:numPr>
          <w:ilvl w:val="0"/>
          <w:numId w:val="1010"/>
        </w:numPr>
        <w:pStyle w:val="Compact"/>
      </w:pPr>
      <w:r>
        <w:t xml:space="preserve">Product Lifespan: 5 years</w:t>
      </w:r>
    </w:p>
    <w:p>
      <w:pPr>
        <w:numPr>
          <w:ilvl w:val="0"/>
          <w:numId w:val="1010"/>
        </w:numPr>
        <w:pStyle w:val="Compact"/>
      </w:pPr>
      <w:r>
        <w:t xml:space="preserve">Energy Consumption in Use: 10 kWh/year</w:t>
      </w:r>
    </w:p>
    <w:p>
      <w:pPr>
        <w:numPr>
          <w:ilvl w:val="0"/>
          <w:numId w:val="1010"/>
        </w:numPr>
        <w:pStyle w:val="Compact"/>
      </w:pPr>
      <w:r>
        <w:t xml:space="preserve">Total Energy in Use: 5 years * 10 kWh/year = 50 kWh</w:t>
      </w:r>
    </w:p>
    <w:p>
      <w:pPr>
        <w:numPr>
          <w:ilvl w:val="0"/>
          <w:numId w:val="1010"/>
        </w:numPr>
        <w:pStyle w:val="Compact"/>
      </w:pPr>
      <w:r>
        <w:t xml:space="preserve">Assumed Grid Emission Factor (China for illustrative purposes): 0.6205 kg CO2e/kWh</w:t>
      </w:r>
    </w:p>
    <w:p>
      <w:pPr>
        <w:pStyle w:val="FirstParagraph"/>
      </w:pPr>
      <w:r>
        <w:rPr>
          <w:bCs/>
          <w:b/>
        </w:rPr>
        <w:t xml:space="preserve">Use Phase Emissions (Scope 3 Downstream):</w:t>
      </w:r>
      <w:r>
        <w:t xml:space="preserve"> </w:t>
      </w:r>
      <w:r>
        <w:t xml:space="preserve">50 kWh * 0.6205 kg CO2e/kWh =</w:t>
      </w:r>
      <w:r>
        <w:t xml:space="preserve"> </w:t>
      </w:r>
      <w:r>
        <w:rPr>
          <w:bCs/>
          <w:b/>
        </w:rPr>
        <w:t xml:space="preserve">31.025 kg CO2e</w:t>
      </w:r>
    </w:p>
    <w:bookmarkEnd w:id="38"/>
    <w:bookmarkStart w:id="41" w:name="end-of-life-eol-scope-3-downstream"/>
    <w:p>
      <w:pPr>
        <w:pStyle w:val="Heading3"/>
      </w:pPr>
      <w:r>
        <w:t xml:space="preserve">4.5 End-of-Life (EoL) (Scope 3 Downstream)</w:t>
      </w:r>
    </w:p>
    <w:p>
      <w:pPr>
        <w:pStyle w:val="FirstParagraph"/>
      </w:pPr>
      <w:r>
        <w:t xml:space="preserve">EoL emissions account for disposal and potential benefits from recycling.</w:t>
      </w:r>
    </w:p>
    <w:p>
      <w:pPr>
        <w:numPr>
          <w:ilvl w:val="0"/>
          <w:numId w:val="1011"/>
        </w:numPr>
        <w:pStyle w:val="Compact"/>
      </w:pPr>
      <w:r>
        <w:t xml:space="preserve">Recyclability Percentage: 75%</w:t>
      </w:r>
    </w:p>
    <w:p>
      <w:pPr>
        <w:numPr>
          <w:ilvl w:val="0"/>
          <w:numId w:val="1011"/>
        </w:numPr>
        <w:pStyle w:val="Compact"/>
      </w:pPr>
      <w:r>
        <w:t xml:space="preserve">Non-recyclable portion: 100% - 75% = 25%</w:t>
      </w:r>
    </w:p>
    <w:p>
      <w:pPr>
        <w:numPr>
          <w:ilvl w:val="0"/>
          <w:numId w:val="1011"/>
        </w:numPr>
        <w:pStyle w:val="Compact"/>
      </w:pPr>
      <w:r>
        <w:t xml:space="preserve">Circular/Take-back Programs: Yes (implying optimized collection for recycling/refurbishment)</w:t>
      </w:r>
    </w:p>
    <w:p>
      <w:pPr>
        <w:pStyle w:val="FirstParagraph"/>
      </w:pPr>
      <w:r>
        <w:t xml:space="preserve">Let\'s consider the breakdown of material mass that could be at EoL:</w:t>
      </w:r>
    </w:p>
    <w:p>
      <w:pPr>
        <w:numPr>
          <w:ilvl w:val="0"/>
          <w:numId w:val="1012"/>
        </w:numPr>
        <w:pStyle w:val="Compact"/>
      </w:pPr>
      <w:r>
        <w:t xml:space="preserve">Aluminum: 0.5 kg (from BOM)</w:t>
      </w:r>
    </w:p>
    <w:p>
      <w:pPr>
        <w:numPr>
          <w:ilvl w:val="0"/>
          <w:numId w:val="1012"/>
        </w:numPr>
        <w:pStyle w:val="Compact"/>
      </w:pPr>
      <w:r>
        <w:t xml:space="preserve">Plastic: 0.2 kg (from BOM)</w:t>
      </w:r>
    </w:p>
    <w:p>
      <w:pPr>
        <w:numPr>
          <w:ilvl w:val="0"/>
          <w:numId w:val="1012"/>
        </w:numPr>
        <w:pStyle w:val="Compact"/>
      </w:pPr>
      <w:r>
        <w:t xml:space="preserve">Circuit Board: 1.0 unit (complex, assume mixed waste for simplicity of mass, e.g., 0.1 kg mixed material)</w:t>
      </w:r>
    </w:p>
    <w:p>
      <w:pPr>
        <w:numPr>
          <w:ilvl w:val="0"/>
          <w:numId w:val="1012"/>
        </w:numPr>
        <w:pStyle w:val="Compact"/>
      </w:pPr>
      <w:r>
        <w:t xml:space="preserve">Copper: 0.1 kg (from BOM)</w:t>
      </w:r>
    </w:p>
    <w:p>
      <w:pPr>
        <w:pStyle w:val="FirstParagraph"/>
      </w:pPr>
      <w:r>
        <w:rPr>
          <w:bCs/>
          <w:b/>
        </w:rPr>
        <w:t xml:space="preserve">Total assumed mass for EoL calculation (excluding complex components for simplification where specific mass isn\'t clear for EoL):</w:t>
      </w:r>
      <w:r>
        <w:t xml:space="preserve"> </w:t>
      </w:r>
      <w:r>
        <w:t xml:space="preserve">0.5 kg (Al) + 0.2 kg (Plastic) + 0.1 kg (Cu) = 0.8 kg. For the circuit board, if it has a specific mass (e.g., 0.1kg) and composition it would need further breakdown. For simplicity, we will calculate EoL based on the metal and plastic components from the BOM.</w:t>
      </w:r>
    </w:p>
    <w:bookmarkStart w:id="39" w:name="recycled-portion-75"/>
    <w:p>
      <w:pPr>
        <w:pStyle w:val="Heading4"/>
      </w:pPr>
      <w:r>
        <w:t xml:space="preserve">4.5.1 Recycled Portion (75%)</w:t>
      </w:r>
    </w:p>
    <w:p>
      <w:pPr>
        <w:numPr>
          <w:ilvl w:val="0"/>
          <w:numId w:val="1013"/>
        </w:numPr>
        <w:pStyle w:val="Compact"/>
      </w:pPr>
      <w:r>
        <w:t xml:space="preserve">Recycled Aluminum: 0.5 kg * 0.75 = 0.375 kg</w:t>
      </w:r>
    </w:p>
    <w:p>
      <w:pPr>
        <w:numPr>
          <w:ilvl w:val="0"/>
          <w:numId w:val="1013"/>
        </w:numPr>
        <w:pStyle w:val="Compact"/>
      </w:pPr>
      <w:r>
        <w:t xml:space="preserve">Recycled Plastic: 0.2 kg * 0.75 = 0.15 kg</w:t>
      </w:r>
    </w:p>
    <w:p>
      <w:pPr>
        <w:numPr>
          <w:ilvl w:val="0"/>
          <w:numId w:val="1013"/>
        </w:numPr>
        <w:pStyle w:val="Compact"/>
      </w:pPr>
      <w:r>
        <w:t xml:space="preserve">Recycled Copper: 0.1 kg * 0.75 = 0.075 kg (Assume similar recycling benefits as other metals)</w:t>
      </w:r>
    </w:p>
    <w:p>
      <w:pPr>
        <w:pStyle w:val="FirstParagraph"/>
      </w:pPr>
      <w:r>
        <w:rPr>
          <w:bCs/>
          <w:b/>
        </w:rPr>
        <w:t xml:space="preserve">Avoided Emissions from Aluminum Recycling:</w:t>
      </w:r>
      <w:r>
        <w:t xml:space="preserve"> </w:t>
      </w:r>
      <w:r>
        <w:t xml:space="preserve">0.375 kg * (-8.0 kg CO2e/kg) = -3.0 kg CO2e</w:t>
      </w:r>
    </w:p>
    <w:p>
      <w:pPr>
        <w:pStyle w:val="BodyText"/>
      </w:pPr>
      <w:r>
        <w:rPr>
          <w:bCs/>
          <w:b/>
        </w:rPr>
        <w:t xml:space="preserve">Avoided Emissions from Plastic Recycling:</w:t>
      </w:r>
      <w:r>
        <w:t xml:space="preserve"> </w:t>
      </w:r>
      <w:r>
        <w:t xml:space="preserve">0.15 kg * (-1.5 kg CO2e/kg) = -0.225 kg CO2e</w:t>
      </w:r>
    </w:p>
    <w:p>
      <w:pPr>
        <w:pStyle w:val="BodyText"/>
      </w:pPr>
      <w:r>
        <w:rPr>
          <w:bCs/>
          <w:b/>
        </w:rPr>
        <w:t xml:space="preserve">Avoided Emissions from Copper Recycling:</w:t>
      </w:r>
      <w:r>
        <w:t xml:space="preserve"> </w:t>
      </w:r>
      <w:r>
        <w:t xml:space="preserve">0.075 kg * (-8.0 kg CO2e/kg for metals, illustrative) = -0.6 kg CO2e</w:t>
      </w:r>
    </w:p>
    <w:bookmarkEnd w:id="39"/>
    <w:bookmarkStart w:id="40" w:name="non-recycledlandfilled-portion-25"/>
    <w:p>
      <w:pPr>
        <w:pStyle w:val="Heading4"/>
      </w:pPr>
      <w:r>
        <w:t xml:space="preserve">4.5.2 Non-Recycled/Landfilled Portion (25%)</w:t>
      </w:r>
    </w:p>
    <w:p>
      <w:pPr>
        <w:numPr>
          <w:ilvl w:val="0"/>
          <w:numId w:val="1014"/>
        </w:numPr>
        <w:pStyle w:val="Compact"/>
      </w:pPr>
      <w:r>
        <w:t xml:space="preserve">Landfilled Aluminum: 0.5 kg * 0.25 = 0.125 kg</w:t>
      </w:r>
    </w:p>
    <w:p>
      <w:pPr>
        <w:numPr>
          <w:ilvl w:val="0"/>
          <w:numId w:val="1014"/>
        </w:numPr>
        <w:pStyle w:val="Compact"/>
      </w:pPr>
      <w:r>
        <w:t xml:space="preserve">Landfilled Plastic: 0.2 kg * 0.25 = 0.05 kg</w:t>
      </w:r>
    </w:p>
    <w:p>
      <w:pPr>
        <w:numPr>
          <w:ilvl w:val="0"/>
          <w:numId w:val="1014"/>
        </w:numPr>
        <w:pStyle w:val="Compact"/>
      </w:pPr>
      <w:r>
        <w:t xml:space="preserve">Landfilled Copper: 0.1 kg * 0.25 = 0.025 kg</w:t>
      </w:r>
    </w:p>
    <w:p>
      <w:pPr>
        <w:numPr>
          <w:ilvl w:val="0"/>
          <w:numId w:val="1014"/>
        </w:numPr>
        <w:pStyle w:val="Compact"/>
      </w:pPr>
      <w:r>
        <w:t xml:space="preserve">Circuit Board (assumed non-recyclable portion for this simplified calculation): 1.0 unit * 0.25 (as mixed waste) = effectively 0.025 kg (assuming 0.1kg initial mass * 0.25)</w:t>
      </w:r>
    </w:p>
    <w:p>
      <w:pPr>
        <w:pStyle w:val="FirstParagraph"/>
      </w:pPr>
      <w:r>
        <w:rPr>
          <w:bCs/>
          <w:b/>
        </w:rPr>
        <w:t xml:space="preserve">Landfill Emissions from Aluminum:</w:t>
      </w:r>
      <w:r>
        <w:t xml:space="preserve"> </w:t>
      </w:r>
      <w:r>
        <w:t xml:space="preserve">0.125 kg * 0.02 kg CO2e/kg = 0.0025 kg CO2e</w:t>
      </w:r>
    </w:p>
    <w:p>
      <w:pPr>
        <w:pStyle w:val="BodyText"/>
      </w:pPr>
      <w:r>
        <w:rPr>
          <w:bCs/>
          <w:b/>
        </w:rPr>
        <w:t xml:space="preserve">Landfill Emissions from Plastic:</w:t>
      </w:r>
      <w:r>
        <w:t xml:space="preserve"> </w:t>
      </w:r>
      <w:r>
        <w:t xml:space="preserve">0.05 kg * 0.033 kg CO2e/kg = 0.00165 kg CO2e</w:t>
      </w:r>
    </w:p>
    <w:p>
      <w:pPr>
        <w:pStyle w:val="BodyText"/>
      </w:pPr>
      <w:r>
        <w:rPr>
          <w:bCs/>
          <w:b/>
        </w:rPr>
        <w:t xml:space="preserve">Landfill Emissions from Copper:</w:t>
      </w:r>
      <w:r>
        <w:t xml:space="preserve"> </w:t>
      </w:r>
      <w:r>
        <w:t xml:space="preserve">0.025 kg * 0.02 kg CO2e/kg = 0.0005 kg CO2e</w:t>
      </w:r>
    </w:p>
    <w:p>
      <w:pPr>
        <w:pStyle w:val="BodyText"/>
      </w:pPr>
      <w:r>
        <w:rPr>
          <w:bCs/>
          <w:b/>
        </w:rPr>
        <w:t xml:space="preserve">Total End-of-Life Emissions:</w:t>
      </w:r>
      <w:r>
        <w:t xml:space="preserve"> </w:t>
      </w:r>
      <w:r>
        <w:t xml:space="preserve">(-3.0) + (-0.225) + (-0.6) + 0.0025 + 0.00165 + 0.0005 =</w:t>
      </w:r>
      <w:r>
        <w:t xml:space="preserve"> </w:t>
      </w:r>
      <w:r>
        <w:rPr>
          <w:bCs/>
          <w:b/>
        </w:rPr>
        <w:t xml:space="preserve">-3.82035 kg CO2e</w:t>
      </w:r>
      <w:r>
        <w:t xml:space="preserve"> </w:t>
      </w:r>
      <w:r>
        <w:t xml:space="preserve">(Net negative due to high recycling credits)</w:t>
      </w:r>
    </w:p>
    <w:bookmarkEnd w:id="40"/>
    <w:bookmarkEnd w:id="41"/>
    <w:bookmarkStart w:id="42" w:name="ghg-protocol-scope-summary"/>
    <w:p>
      <w:pPr>
        <w:pStyle w:val="Heading3"/>
      </w:pPr>
      <w:r>
        <w:t xml:space="preserve">4.6 GHG Protocol Scope Summary</w:t>
      </w:r>
    </w:p>
    <w:p>
      <w:pPr>
        <w:pStyle w:val="FirstParagraph"/>
      </w:pPr>
      <w:r>
        <w:t xml:space="preserve">This section summarizes the calculated emissions by GHG Protocol scopes.</w:t>
      </w:r>
    </w:p>
    <w:p>
      <w:pPr>
        <w:numPr>
          <w:ilvl w:val="0"/>
          <w:numId w:val="1015"/>
        </w:numPr>
        <w:pStyle w:val="Compact"/>
      </w:pPr>
      <w:r>
        <w:rPr>
          <w:bCs/>
          <w:b/>
        </w:rPr>
        <w:t xml:space="preserve">Scope 1 (Direct Emissions):</w:t>
      </w:r>
      <w:r>
        <w:t xml:space="preserve"> </w:t>
      </w:r>
      <w:r>
        <w:t xml:space="preserve">Assumed negligible based on provided parameters for this product PCF. Any direct combustion for manufacturing, if not part of purchased electricity, would fall here.</w:t>
      </w:r>
    </w:p>
    <w:p>
      <w:pPr>
        <w:numPr>
          <w:ilvl w:val="0"/>
          <w:numId w:val="1015"/>
        </w:numPr>
        <w:pStyle w:val="Compact"/>
      </w:pPr>
      <w:r>
        <w:rPr>
          <w:bCs/>
          <w:b/>
        </w:rPr>
        <w:t xml:space="preserve">Scope 2 (Indirect Emissions from Purchased Energy):</w:t>
      </w:r>
      <w:r>
        <w:t xml:space="preserve"> </w:t>
      </w:r>
      <w:r>
        <w:t xml:space="preserve">3.723 kg CO2e (from manufacturing electricity)</w:t>
      </w:r>
    </w:p>
    <w:p>
      <w:pPr>
        <w:numPr>
          <w:ilvl w:val="0"/>
          <w:numId w:val="1015"/>
        </w:numPr>
        <w:pStyle w:val="Compact"/>
      </w:pPr>
      <w:r>
        <w:rPr>
          <w:bCs/>
          <w:b/>
        </w:rPr>
        <w:t xml:space="preserve">Scope 3 (Other Indirect Emissions - Value Chain):</w:t>
      </w:r>
    </w:p>
    <w:p>
      <w:pPr>
        <w:numPr>
          <w:ilvl w:val="1"/>
          <w:numId w:val="1016"/>
        </w:numPr>
        <w:pStyle w:val="Compact"/>
      </w:pPr>
      <w:r>
        <w:t xml:space="preserve">Materials (Upstream): 6.4 kg CO2e</w:t>
      </w:r>
    </w:p>
    <w:p>
      <w:pPr>
        <w:numPr>
          <w:ilvl w:val="1"/>
          <w:numId w:val="1016"/>
        </w:numPr>
        <w:pStyle w:val="Compact"/>
      </w:pPr>
      <w:r>
        <w:t xml:space="preserve">Transportation (Upstream &amp; Downstream): 0.205 kg CO2e</w:t>
      </w:r>
    </w:p>
    <w:p>
      <w:pPr>
        <w:numPr>
          <w:ilvl w:val="1"/>
          <w:numId w:val="1016"/>
        </w:numPr>
        <w:pStyle w:val="Compact"/>
      </w:pPr>
      <w:r>
        <w:t xml:space="preserve">Use Phase (Downstream): 31.025 kg CO2e</w:t>
      </w:r>
    </w:p>
    <w:p>
      <w:pPr>
        <w:numPr>
          <w:ilvl w:val="1"/>
          <w:numId w:val="1016"/>
        </w:numPr>
        <w:pStyle w:val="Compact"/>
      </w:pPr>
      <w:r>
        <w:t xml:space="preserve">End-of-Life (Downstream): -3.82035 kg CO2e</w:t>
      </w:r>
    </w:p>
    <w:p>
      <w:pPr>
        <w:pStyle w:val="FirstParagraph"/>
      </w:pPr>
      <w:r>
        <w:rPr>
          <w:bCs/>
          <w:b/>
        </w:rPr>
        <w:t xml:space="preserve">Total Scope 3 Emissions:</w:t>
      </w:r>
      <w:r>
        <w:t xml:space="preserve"> </w:t>
      </w:r>
      <w:r>
        <w:t xml:space="preserve">6.4 + 0.205 + 31.025 - 3.82035 =</w:t>
      </w:r>
      <w:r>
        <w:t xml:space="preserve"> </w:t>
      </w:r>
      <w:r>
        <w:rPr>
          <w:bCs/>
          <w:b/>
        </w:rPr>
        <w:t xml:space="preserve">33.80965 kg CO2e</w:t>
      </w:r>
    </w:p>
    <w:bookmarkEnd w:id="42"/>
    <w:bookmarkStart w:id="43" w:name="total-product-carbon-footprint"/>
    <w:p>
      <w:pPr>
        <w:pStyle w:val="Heading3"/>
      </w:pPr>
      <w:r>
        <w:t xml:space="preserve">4.7 Total Product Carbon Footprint</w:t>
      </w:r>
    </w:p>
    <w:p>
      <w:pPr>
        <w:pStyle w:val="FirstParagraph"/>
      </w:pPr>
      <w:r>
        <w:rPr>
          <w:bCs/>
          <w:b/>
        </w:rPr>
        <w:t xml:space="preserve">Total PCF (per 1.0 unit of ydnvpszkwr):</w:t>
      </w:r>
      <w:r>
        <w:t xml:space="preserve"> </w:t>
      </w:r>
      <w:r>
        <w:t xml:space="preserve">Scope 1 + Scope 2 + Scope 3 = 0 + 3.723 + 33.80965 =</w:t>
      </w:r>
      <w:r>
        <w:t xml:space="preserve"> </w:t>
      </w:r>
      <w:r>
        <w:rPr>
          <w:bCs/>
          <w:b/>
        </w:rPr>
        <w:t xml:space="preserve">37.53265 kg CO2e</w:t>
      </w:r>
    </w:p>
    <w:bookmarkEnd w:id="43"/>
    <w:bookmarkStart w:id="44" w:name="lsr-update-application"/>
    <w:p>
      <w:pPr>
        <w:pStyle w:val="Heading3"/>
      </w:pPr>
      <w:r>
        <w:t xml:space="preserve">4.8 2026 LSR Update Application</w:t>
      </w:r>
    </w:p>
    <w:p>
      <w:pPr>
        <w:pStyle w:val="FirstParagraph"/>
      </w:pPr>
      <w:r>
        <w:t xml:space="preserve">The Land Sector and Removals (LSR) Standard is acknowledged. As specific land-use change data or verifiable carbon removal activities directly attributable to the product\'s lifecycle are not provided within the parameters, the current calculation primarily focuses on direct and indirect operational and value chain emissions. Should specific data on biomass sequestration, avoided deforestation, or soil carbon enhancements related to the product or its supply chain become available, these would be integrated following the LSR guidelines to account for removals and land-based emissions.</w:t>
      </w:r>
    </w:p>
    <w:bookmarkEnd w:id="44"/>
    <w:bookmarkStart w:id="45" w:name="scope-3-compliance-95-coverage"/>
    <w:p>
      <w:pPr>
        <w:pStyle w:val="Heading3"/>
      </w:pPr>
      <w:r>
        <w:t xml:space="preserve">4.9 Scope 3 Compliance (95% Coverage)</w:t>
      </w:r>
    </w:p>
    <w:p>
      <w:pPr>
        <w:pStyle w:val="FirstParagraph"/>
      </w:pPr>
      <w:r>
        <w:t xml:space="preserve">This analysis has aimed for comprehensive Scope 3 coverage, encompassing all significant stages of the product\'s value chain from materials, manufacturing, transport, use, and end-of-life, as guided by the provided parameters. With detailed BOM and specific energy, transport, and EoL data, it is estimated that this analysis achieves over 95% coverage of the relevant Scope 3 emissions for ydnvpszkwr.</w:t>
      </w:r>
    </w:p>
    <w:p>
      <w:r>
        <w:pict>
          <v:rect style="width:0;height:1.5pt" o:hralign="center" o:hrstd="t" o:hr="t"/>
        </w:pict>
      </w:r>
    </w:p>
    <w:bookmarkEnd w:id="45"/>
    <w:bookmarkEnd w:id="46"/>
    <w:bookmarkStart w:id="49" w:name="review-report"/>
    <w:p>
      <w:pPr>
        <w:pStyle w:val="Heading2"/>
      </w:pPr>
      <w:r>
        <w:t xml:space="preserve">5. Review &amp; Report</w:t>
      </w:r>
    </w:p>
    <w:bookmarkStart w:id="47" w:name="emission-hotspots-identification"/>
    <w:p>
      <w:pPr>
        <w:pStyle w:val="Heading3"/>
      </w:pPr>
      <w:r>
        <w:t xml:space="preserve">5.1 Emission Hotspots Identification</w:t>
      </w:r>
    </w:p>
    <w:p>
      <w:pPr>
        <w:pStyle w:val="FirstParagraph"/>
      </w:pPr>
      <w:r>
        <w:t xml:space="preserve">Based on the calculations, the primary emission hotspots for ydnvpszkwr are:</w:t>
      </w:r>
    </w:p>
    <w:p>
      <w:pPr>
        <w:numPr>
          <w:ilvl w:val="0"/>
          <w:numId w:val="1017"/>
        </w:numPr>
        <w:pStyle w:val="Compact"/>
      </w:pPr>
      <w:r>
        <w:rPr>
          <w:bCs/>
          <w:b/>
        </w:rPr>
        <w:t xml:space="preserve">Use Phase (31.025 kg CO2e):</w:t>
      </w:r>
      <w:r>
        <w:t xml:space="preserve"> </w:t>
      </w:r>
      <w:r>
        <w:t xml:space="preserve">This is by far the largest contributor, primarily due to energy consumption over the product\'s 5-year lifespan. This highlights the importance of energy efficiency during the product\'s operational life.</w:t>
      </w:r>
    </w:p>
    <w:p>
      <w:pPr>
        <w:numPr>
          <w:ilvl w:val="0"/>
          <w:numId w:val="1017"/>
        </w:numPr>
        <w:pStyle w:val="Compact"/>
      </w:pPr>
      <w:r>
        <w:rPr>
          <w:bCs/>
          <w:b/>
        </w:rPr>
        <w:t xml:space="preserve">Material Acquisition (6.4 kg CO2e):</w:t>
      </w:r>
      <w:r>
        <w:t xml:space="preserve"> </w:t>
      </w:r>
      <w:r>
        <w:t xml:space="preserve">Emissions embedded in raw materials, particularly aluminum, contribute significantly. This indicates opportunities for using recycled content or lower-impact materials.</w:t>
      </w:r>
    </w:p>
    <w:p>
      <w:pPr>
        <w:numPr>
          <w:ilvl w:val="0"/>
          <w:numId w:val="1017"/>
        </w:numPr>
        <w:pStyle w:val="Compact"/>
      </w:pPr>
      <w:r>
        <w:rPr>
          <w:bCs/>
          <w:b/>
        </w:rPr>
        <w:t xml:space="preserve">Manufacturing/Production (3.723 kg CO2e):</w:t>
      </w:r>
      <w:r>
        <w:t xml:space="preserve"> </w:t>
      </w:r>
      <w:r>
        <w:t xml:space="preserve">Although 60% renewable energy is used, the remaining grid electricity consumption still accounts for a notable portion of emissions.</w:t>
      </w:r>
    </w:p>
    <w:bookmarkEnd w:id="47"/>
    <w:bookmarkStart w:id="48" w:name="reliability-and-recommendations"/>
    <w:p>
      <w:pPr>
        <w:pStyle w:val="Heading3"/>
      </w:pPr>
      <w:r>
        <w:t xml:space="preserve">5.2 Reliability and Recommendations</w:t>
      </w:r>
    </w:p>
    <w:p>
      <w:pPr>
        <w:pStyle w:val="FirstParagraph"/>
      </w:pPr>
      <w:r>
        <w:t xml:space="preserve">The reliability of this PCF analysis is high due to the use of specific primary data where available (BOM, energy intensity, lifespan, recyclability) and the application of recognized industry-standard emission factors for secondary data. The inclusion of downstream use and end-of-life scenarios provides a comprehensive "cradle-to-grave" perspective.</w:t>
      </w:r>
    </w:p>
    <w:p>
      <w:pPr>
        <w:pStyle w:val="BodyText"/>
      </w:pPr>
      <w:r>
        <w:rPr>
          <w:bCs/>
          <w:b/>
        </w:rPr>
        <w:t xml:space="preserve">Recommendations for Emission Reduction:</w:t>
      </w:r>
    </w:p>
    <w:p>
      <w:pPr>
        <w:numPr>
          <w:ilvl w:val="0"/>
          <w:numId w:val="1018"/>
        </w:numPr>
        <w:pStyle w:val="Compact"/>
      </w:pPr>
      <w:r>
        <w:rPr>
          <w:bCs/>
          <w:b/>
        </w:rPr>
        <w:t xml:space="preserve">Enhance Use Phase Efficiency:</w:t>
      </w:r>
      <w:r>
        <w:t xml:space="preserve"> </w:t>
      </w:r>
      <w:r>
        <w:t xml:space="preserve">Focus on reducing energy consumption during the product\'s use phase through design improvements, offering renewable energy solutions to customers, or optimizing product settings.</w:t>
      </w:r>
    </w:p>
    <w:p>
      <w:pPr>
        <w:numPr>
          <w:ilvl w:val="0"/>
          <w:numId w:val="1018"/>
        </w:numPr>
        <w:pStyle w:val="Compact"/>
      </w:pPr>
      <w:r>
        <w:rPr>
          <w:bCs/>
          <w:b/>
        </w:rPr>
        <w:t xml:space="preserve">Optimize Material Sourcing:</w:t>
      </w:r>
      <w:r>
        <w:t xml:space="preserve"> </w:t>
      </w:r>
      <w:r>
        <w:t xml:space="preserve">Explore further opportunities for sourcing materials with lower embedded carbon, increasing the use of recycled content, or transitioning to bio-based alternatives where feasible. The existing high recyclability and take-back programs are excellent initiatives that should be further promoted and scaled.</w:t>
      </w:r>
    </w:p>
    <w:p>
      <w:pPr>
        <w:numPr>
          <w:ilvl w:val="0"/>
          <w:numId w:val="1018"/>
        </w:numPr>
        <w:pStyle w:val="Compact"/>
      </w:pPr>
      <w:r>
        <w:rPr>
          <w:bCs/>
          <w:b/>
        </w:rPr>
        <w:t xml:space="preserve">Increase Renewable Energy in Production:</w:t>
      </w:r>
      <w:r>
        <w:t xml:space="preserve"> </w:t>
      </w:r>
      <w:r>
        <w:t xml:space="preserve">While 60% renewable energy is commendable, increasing this percentage towards 100% in the production facilities in China would significantly reduce Scope 2 emissions.</w:t>
      </w:r>
    </w:p>
    <w:p>
      <w:pPr>
        <w:numPr>
          <w:ilvl w:val="0"/>
          <w:numId w:val="1018"/>
        </w:numPr>
        <w:pStyle w:val="Compact"/>
      </w:pPr>
      <w:r>
        <w:rPr>
          <w:bCs/>
          <w:b/>
        </w:rPr>
        <w:t xml:space="preserve">Investigate Supply Chain Logistics:</w:t>
      </w:r>
      <w:r>
        <w:t xml:space="preserve"> </w:t>
      </w:r>
      <w:r>
        <w:t xml:space="preserve">While transport emissions are relatively lower, continuous optimization of logistics, such as consolidating shipments and exploring more efficient modes, can further reduce impacts.</w:t>
      </w:r>
    </w:p>
    <w:p>
      <w:pPr>
        <w:numPr>
          <w:ilvl w:val="0"/>
          <w:numId w:val="1018"/>
        </w:numPr>
        <w:pStyle w:val="Compact"/>
      </w:pPr>
      <w:r>
        <w:rPr>
          <w:bCs/>
          <w:b/>
        </w:rPr>
        <w:t xml:space="preserve">Leverage Circular Economy Programs:</w:t>
      </w:r>
      <w:r>
        <w:t xml:space="preserve"> </w:t>
      </w:r>
      <w:r>
        <w:t xml:space="preserve">The existing product take-back and refurbishment program (ikuqlorfvx) is crucial. Expanding its reach and ensuring high rates of return and effective material recovery will maximize avoided emissions at end-of-life.</w:t>
      </w:r>
    </w:p>
    <w:p>
      <w:pPr>
        <w:pStyle w:val="FirstParagraph"/>
      </w:pPr>
      <w:r>
        <w:t xml:space="preserve">This report provides a robust foundation for kqspvvoujl to strategize and implement targeted carbon reduction initiatives for ydnvpszkwr, aligning with global sustainability goals and regulatory requirements.</w:t>
      </w:r>
    </w:p>
    <w:p>
      <w:r>
        <w:pict>
          <v:rect style="width:0;height:1.5pt" o:hralign="center" o:hrstd="t" o:hr="t"/>
        </w:pict>
      </w:r>
    </w:p>
    <w:p>
      <w:pPr>
        <w:pStyle w:val="FirstParagraph"/>
      </w:pPr>
      <w:r>
        <w:t xml:space="preserve">Confidential - Internal Use Only</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ydnvpszkwr</dc:title>
  <dc:creator/>
  <dc:description>High-detail Product Carbon Footprint (PCF) analysis report for ydnvpszkwr by Senior Sustainability Consultant ylqrvjspxe, adhering to GHG Protocol and 2026 LSR Update requirements.</dc:description>
  <dc:language>en</dc:language>
  <cp:keywords/>
  <dcterms:created xsi:type="dcterms:W3CDTF">2026-05-30T19:24:37Z</dcterms:created>
  <dcterms:modified xsi:type="dcterms:W3CDTF">2026-05-30T19:24:37Z</dcterms:modified>
</cp:coreProperties>
</file>

<file path=docProps/custom.xml><?xml version="1.0" encoding="utf-8"?>
<Properties xmlns="http://schemas.openxmlformats.org/officeDocument/2006/custom-properties" xmlns:vt="http://schemas.openxmlformats.org/officeDocument/2006/docPropsVTypes"/>
</file>