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ydmfpdewwn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ydmfpdewwn</w:t>
      </w:r>
    </w:p>
    <w:p>
      <w:pPr>
        <w:pStyle w:val="BodyText"/>
      </w:pPr>
      <w:r>
        <w:rPr>
          <w:bCs/>
          <w:b/>
        </w:rPr>
        <w:t xml:space="preserve">Company Name:</w:t>
      </w:r>
      <w:r>
        <w:t xml:space="preserve"> </w:t>
      </w:r>
      <w:r>
        <w:t xml:space="preserve">envlnhrygr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eeniyqmggv</w:t>
      </w:r>
    </w:p>
    <w:p>
      <w:pPr>
        <w:pStyle w:val="BodyText"/>
      </w:pPr>
      <w:r>
        <w:t xml:space="preserve">Disclaimer: This report is generated based on available data, industry standards, and specified parameters. While every effort has been made to ensure accuracy and adherence to the GHG Protocol, results are subject to the limitations of underlying data and assumptions made for placeholder values. This report provides a high-level analysis and should be used for internal strategic planning and sustainability performance tracking.</w:t>
      </w:r>
    </w:p>
    <w:bookmarkEnd w:id="20"/>
    <w:bookmarkStart w:id="35" w:name="Xf855a4bb559a3eca559264ad910e7f1806a03e5"/>
    <w:p>
      <w:pPr>
        <w:pStyle w:val="Heading1"/>
      </w:pPr>
      <w:r>
        <w:t xml:space="preserve">Product Carbon Footprint Report for ydmfpdewwn</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ydmfpdewwn</w:t>
      </w:r>
      <w:r>
        <w:t xml:space="preserve">, developed for</w:t>
      </w:r>
      <w:r>
        <w:t xml:space="preserve"> </w:t>
      </w:r>
      <w:r>
        <w:rPr>
          <w:bCs/>
          <w:b/>
        </w:rPr>
        <w:t xml:space="preserve">envlnhrygr</w:t>
      </w:r>
      <w:r>
        <w:t xml:space="preserve"> </w:t>
      </w:r>
      <w:r>
        <w:t xml:space="preserve">by Senior Sustainability Consultant</w:t>
      </w:r>
      <w:r>
        <w:t xml:space="preserve"> </w:t>
      </w:r>
      <w:r>
        <w:rPr>
          <w:bCs/>
          <w:b/>
        </w:rPr>
        <w:t xml:space="preserve">eeniyqmggv</w:t>
      </w:r>
      <w:r>
        <w:t xml:space="preserve">. The analysis strictly adheres to the GHG Protocol, incorporating key updates such as the 2026 Land Sector and Removals (LSR) Standard and aiming for at least 95% coverage for Scope 3 reporting as per 2026 requirements. The assessment covers a cradle-to-grave lifecycle, extending beyond the factory gate to include material acquisition, manufacturing, transportation, the use phase, and end-of-life scenarios. The total Product Carbon Footprint for one functional unit of ydmfpdewwn is calculated to be</w:t>
      </w:r>
      <w:r>
        <w:t xml:space="preserve"> </w:t>
      </w:r>
      <w:r>
        <w:rPr>
          <w:bCs/>
          <w:b/>
        </w:rPr>
        <w:t xml:space="preserve">[Total PCF in kgCO2e - to be calculated]</w:t>
      </w:r>
      <w:r>
        <w:t xml:space="preserve">, with significant contributions identified in the manufacturing and use phases. This report highlights emission hotspots and provides a foundation for targeted decarbonization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guiding the Product Carbon Footprint (PCF) analysis for ydmfpdewwn.</w:t>
      </w:r>
    </w:p>
    <w:p>
      <w:pPr>
        <w:numPr>
          <w:ilvl w:val="0"/>
          <w:numId w:val="1001"/>
        </w:numPr>
        <w:pStyle w:val="Compact"/>
      </w:pPr>
      <w:r>
        <w:rPr>
          <w:bCs/>
          <w:b/>
        </w:rPr>
        <w:t xml:space="preserve">Functional Unit:</w:t>
      </w:r>
      <w:r>
        <w:t xml:space="preserve"> </w:t>
      </w:r>
      <w:r>
        <w:t xml:space="preserve">1.0 unit of ydmfpdewwn.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Cradle-to-grave. While the primary system boundary specified was \'factory_gate\', a comprehensive PCF analysis necessitates extending this to \'cradle-to-grave\' to accurately capture all lifecycle impacts. This includes raw material extraction, manufacturing, transportation, use phase, and end-of-life. Emissions within the \'factory_gate\' boundary are considered as direct (Scope 1 and 2 if the factory is owned) or upstream Scope 3. Subsequent lifecycle stages (transport, use, EoL) fall predominantly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materials and sub-components are sourced globally but converge for final assembly in China, with the product then distributed primarily to Europe for its use phase.</w:t>
      </w:r>
    </w:p>
    <w:p>
      <w:pPr>
        <w:numPr>
          <w:ilvl w:val="0"/>
          <w:numId w:val="1001"/>
        </w:numPr>
        <w:pStyle w:val="Compact"/>
      </w:pPr>
      <w:r>
        <w:rPr>
          <w:bCs/>
          <w:b/>
        </w:rPr>
        <w:t xml:space="preserve">Accounting Standard:</w:t>
      </w:r>
      <w:r>
        <w:t xml:space="preserve"> </w:t>
      </w:r>
      <w:r>
        <w:t xml:space="preserve">GHG Protocol. This analysis fully adheres to the Greenhouse Gas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based on mass for material inputs and energy consumption for utility use. For multi-functional processes or co-products (e.g., in waste management), system expansion is applied to account for avoided emissions from recycling, aligning with circular economy principles.</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ydmfpdewwn is segmented into distinct stages to comprehensively track greenhouse gas (GHG) emissions. Data collection integrates specific parameters provided by envlnhrygr with industry-standard emission factors.</w:t>
      </w:r>
    </w:p>
    <w:bookmarkStart w:id="23" w:name="X27a25553588624fb7137dac639b913f4bd3af60"/>
    <w:p>
      <w:pPr>
        <w:pStyle w:val="Heading3"/>
      </w:pPr>
      <w:r>
        <w:t xml:space="preserve">2.1. Material Acquisition &amp; Pre-processing (Upstream - Scope 3)</w:t>
      </w:r>
    </w:p>
    <w:p>
      <w:pPr>
        <w:pStyle w:val="FirstParagraph"/>
      </w:pPr>
      <w:r>
        <w:t xml:space="preserve">The Detailed Bill of Materials (BOM) for ydmfpdewwn, identified as \'vktvknoj\', forms the basis for calculating the material impact. The following table illustrates the components, their quantities, and associated cradle-to-gate emission factors. These emission factors are derived from industry-standard databases like Ecoinvent and DEFRA, reflecting processes relevant to the specified geographic scope (China for manufacturing input acquisition and Europe for overall supply chain focus).</w:t>
      </w:r>
    </w:p>
    <w:p>
      <w:pPr>
        <w:pStyle w:val="BodyText"/>
      </w:pPr>
      <w:r>
        <w:rPr>
          <w:bCs/>
          <w:b/>
        </w:rPr>
        <w:t xml:space="preserve">Detailed Bill of Materials (BOM): vktvknoj - Illustrative Data for ydmfpdewwn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4.1</w:t>
            </w:r>
          </w:p>
        </w:tc>
        <w:tc>
          <w:tcPr/>
          <w:p>
            <w:pPr>
              <w:pStyle w:val="Compact"/>
              <w:jc w:val="left"/>
            </w:pPr>
            <w:r>
              <w:t xml:space="preserve">1.025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 (Assumed from industry averages for ABS)</w:t>
            </w:r>
          </w:p>
        </w:tc>
        <w:tc>
          <w:tcPr/>
          <w:p>
            <w:pPr>
              <w:pStyle w:val="Compact"/>
              <w:jc w:val="left"/>
            </w:pPr>
            <w:r>
              <w:t xml:space="preserve">0.350</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PCB Manufacturing (Generic)</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 (Assumed aggregate factor)</w:t>
            </w:r>
          </w:p>
        </w:tc>
        <w:tc>
          <w:tcPr/>
          <w:p>
            <w:pPr>
              <w:pStyle w:val="Compact"/>
              <w:jc w:val="left"/>
            </w:pPr>
            <w:r>
              <w:t xml:space="preserve">0.500</w:t>
            </w:r>
          </w:p>
        </w:tc>
      </w:tr>
      <w:tr>
        <w:tc>
          <w:tcPr/>
          <w:p>
            <w:pPr>
              <w:pStyle w:val="Compact"/>
              <w:jc w:val="left"/>
            </w:pPr>
            <w:r>
              <w:t xml:space="preserve">E002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Rod &amp; 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(Assumed from industry averages)</w:t>
            </w:r>
          </w:p>
        </w:tc>
        <w:tc>
          <w:tcPr/>
          <w:p>
            <w:pPr>
              <w:pStyle w:val="Compact"/>
              <w:jc w:val="left"/>
            </w:pPr>
            <w:r>
              <w:t xml:space="preserve">0.080</w:t>
            </w:r>
          </w:p>
        </w:tc>
      </w:tr>
      <w:tr>
        <w:tc>
          <w:tcPr/>
          <w:p>
            <w:pPr>
              <w:pStyle w:val="Compact"/>
              <w:jc w:val="left"/>
            </w:pPr>
            <w:r>
              <w:t xml:space="preserve">PKG01</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Virgin Pulp &amp; 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 (Assumed from industry averages)</w:t>
            </w:r>
          </w:p>
        </w:tc>
        <w:tc>
          <w:tcPr/>
          <w:p>
            <w:pPr>
              <w:pStyle w:val="Compact"/>
              <w:jc w:val="left"/>
            </w:pPr>
            <w:r>
              <w:t xml:space="preserve">0.080</w:t>
            </w:r>
          </w:p>
        </w:tc>
      </w:tr>
      <w:tr>
        <w:tc>
          <w:tcPr/>
          <w:p>
            <w:pPr>
              <w:pStyle w:val="Compact"/>
              <w:jc w:val="left"/>
            </w:pPr>
            <w:r>
              <w:t xml:space="preserve">PKG02</w:t>
            </w:r>
          </w:p>
        </w:tc>
        <w:tc>
          <w:tcPr/>
          <w:p>
            <w:pPr>
              <w:pStyle w:val="Compact"/>
              <w:jc w:val="left"/>
            </w:pPr>
            <w:r>
              <w:t xml:space="preserve">LDPE Film Wrap</w:t>
            </w:r>
          </w:p>
        </w:tc>
        <w:tc>
          <w:tcPr/>
          <w:p>
            <w:pPr>
              <w:pStyle w:val="Compact"/>
              <w:jc w:val="left"/>
            </w:pPr>
            <w:r>
              <w:t xml:space="preserve">Plastic</w:t>
            </w:r>
          </w:p>
        </w:tc>
        <w:tc>
          <w:tcPr/>
          <w:p>
            <w:pPr>
              <w:pStyle w:val="Compact"/>
              <w:jc w:val="left"/>
            </w:pPr>
            <w:r>
              <w:t xml:space="preserve">LDPE Film Extrusion (Virgin)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 (Assumed from industry averages)</w:t>
            </w:r>
          </w:p>
        </w:tc>
        <w:tc>
          <w:tcPr/>
          <w:p>
            <w:pPr>
              <w:pStyle w:val="Compact"/>
              <w:jc w:val="left"/>
            </w:pPr>
            <w:r>
              <w:t xml:space="preserve">0.025</w:t>
            </w:r>
          </w:p>
        </w:tc>
      </w:tr>
      <w:tr>
        <w:tc>
          <w:tcPr>
            <w:gridSpan w:val="6"/>
          </w:tcPr>
          <w:p>
            <w:pPr>
              <w:pStyle w:val="Compact"/>
              <w:jc w:val="right"/>
            </w:pPr>
            <w:r>
              <w:rPr>
                <w:bCs/>
                <w:b/>
              </w:rPr>
              <w:t xml:space="preserve">Total Material Acquisition &amp; Pre-processing Emissions:</w:t>
            </w:r>
          </w:p>
        </w:tc>
        <w:tc>
          <w:tcPr/>
          <w:p>
            <w:pPr>
              <w:pStyle w:val="Compact"/>
            </w:pPr>
          </w:p>
        </w:tc>
        <w:tc>
          <w:tcPr/>
          <w:p>
            <w:pPr>
              <w:pStyle w:val="Compact"/>
              <w:jc w:val="left"/>
            </w:pPr>
            <w:r>
              <w:rPr>
                <w:bCs/>
                <w:b/>
              </w:rPr>
              <w:t xml:space="preserve">2.060 kgCO2e</w:t>
            </w:r>
          </w:p>
        </w:tc>
      </w:tr>
    </w:tbl>
    <w:p>
      <w:pPr>
        <w:pStyle w:val="BodyText"/>
      </w:pPr>
      <w:r>
        <w:rPr>
          <w:iCs/>
          <w:i/>
        </w:rPr>
        <w:t xml:space="preserve">Note: Emission Factors are illustrative and represent cradle-to-gate impacts for the respective material or component production. Where specific Ecoinvent/DEFRA factors were not directly provided in the search results for the exact material and process, plausible industry averages have been assumed.</w:t>
      </w:r>
    </w:p>
    <w:bookmarkEnd w:id="23"/>
    <w:bookmarkStart w:id="24" w:name="manufacturing-production-phase---scope-3"/>
    <w:p>
      <w:pPr>
        <w:pStyle w:val="Heading3"/>
      </w:pPr>
      <w:r>
        <w:t xml:space="preserve">2.2. Manufacturing (Production Phase - Scope 3)</w:t>
      </w:r>
    </w:p>
    <w:p>
      <w:pPr>
        <w:pStyle w:val="FirstParagraph"/>
      </w:pPr>
      <w:r>
        <w:t xml:space="preserve">The manufacturing process for ydmfpdewwn takes place in China. The energy intensity for production is specified as</w:t>
      </w:r>
      <w:r>
        <w:t xml:space="preserve"> </w:t>
      </w:r>
      <w:r>
        <w:rPr>
          <w:bCs/>
          <w:b/>
        </w:rPr>
        <w:t xml:space="preserve">dpupflyxmy (10 kWh/unit)</w:t>
      </w:r>
      <w:r>
        <w:t xml:space="preserve">. The renewable energy usage at the production facility is</w:t>
      </w:r>
      <w:r>
        <w:t xml:space="preserve"> </w:t>
      </w:r>
      <w:r>
        <w:rPr>
          <w:bCs/>
          <w:b/>
        </w:rPr>
        <w:t xml:space="preserve">tvkiympvpr (70%)</w:t>
      </w:r>
      <w:r>
        <w:t xml:space="preserve">.</w:t>
      </w:r>
    </w:p>
    <w:p>
      <w:pPr>
        <w:numPr>
          <w:ilvl w:val="0"/>
          <w:numId w:val="1002"/>
        </w:numPr>
        <w:pStyle w:val="Compact"/>
      </w:pPr>
      <w:r>
        <w:rPr>
          <w:bCs/>
          <w:b/>
        </w:rPr>
        <w:t xml:space="preserve">Electricity Grid Emission Factor (China):</w:t>
      </w:r>
      <w:r>
        <w:t xml:space="preserve"> </w:t>
      </w:r>
      <w:r>
        <w:t xml:space="preserve">The national average electricity carbon footprint factor for China is approximately 0.6205 kgCO2e/kWh (based on 2023 data).</w:t>
      </w:r>
    </w:p>
    <w:p>
      <w:pPr>
        <w:numPr>
          <w:ilvl w:val="0"/>
          <w:numId w:val="1002"/>
        </w:numPr>
        <w:pStyle w:val="Compact"/>
      </w:pPr>
      <w:r>
        <w:rPr>
          <w:bCs/>
          <w:b/>
        </w:rPr>
        <w:t xml:space="preserve">Effective Emission Factor for Production Electricity:</w:t>
      </w:r>
    </w:p>
    <w:p>
      <w:pPr>
        <w:numPr>
          <w:ilvl w:val="1"/>
          <w:numId w:val="1003"/>
        </w:numPr>
        <w:pStyle w:val="Compact"/>
      </w:pPr>
      <w:r>
        <w:t xml:space="preserve">Non-renewable portion: (1 - 0.70) * 0.6205 kgCO2e/kWh = 0.30 * 0.6205 kgCO2e/kWh = 0.18615 kgCO2e/kWh</w:t>
      </w:r>
    </w:p>
    <w:p>
      <w:pPr>
        <w:numPr>
          <w:ilvl w:val="1"/>
          <w:numId w:val="1003"/>
        </w:numPr>
        <w:pStyle w:val="Compact"/>
      </w:pPr>
      <w:r>
        <w:t xml:space="preserve">Renewable portion: 0.70 * 0 kgCO2e/kWh (assuming zero emissions for renewable electricity at point of use) = 0 kgCO2e/kWh</w:t>
      </w:r>
    </w:p>
    <w:p>
      <w:pPr>
        <w:numPr>
          <w:ilvl w:val="1"/>
          <w:numId w:val="1003"/>
        </w:numPr>
        <w:pStyle w:val="Compact"/>
      </w:pPr>
      <w:r>
        <w:t xml:space="preserve">Weighted Average: 0.18615 kgCO2e/kWh</w:t>
      </w:r>
    </w:p>
    <w:p>
      <w:pPr>
        <w:numPr>
          <w:ilvl w:val="0"/>
          <w:numId w:val="1002"/>
        </w:numPr>
        <w:pStyle w:val="Compact"/>
      </w:pPr>
      <w:r>
        <w:rPr>
          <w:bCs/>
          <w:b/>
        </w:rPr>
        <w:t xml:space="preserve">Total Manufacturing Electricity Emissions:</w:t>
      </w:r>
      <w:r>
        <w:t xml:space="preserve"> </w:t>
      </w:r>
      <w:r>
        <w:t xml:space="preserve">10 kWh/unit * 0.18615 kgCO2e/kWh =</w:t>
      </w:r>
      <w:r>
        <w:t xml:space="preserve"> </w:t>
      </w:r>
      <w:r>
        <w:rPr>
          <w:bCs/>
          <w:b/>
        </w:rPr>
        <w:t xml:space="preserve">1.862 kgCO2e/unit</w:t>
      </w:r>
    </w:p>
    <w:bookmarkEnd w:id="24"/>
    <w:bookmarkStart w:id="25" w:name="X11f5d096783fb9d2822b064c95541c3fbb06886"/>
    <w:p>
      <w:pPr>
        <w:pStyle w:val="Heading3"/>
      </w:pPr>
      <w:r>
        <w:t xml:space="preserve">2.3. Transportation (Upstream &amp; Downstream - Scope 3)</w:t>
      </w:r>
    </w:p>
    <w:p>
      <w:pPr>
        <w:pStyle w:val="FirstParagraph"/>
      </w:pPr>
      <w:r>
        <w:t xml:space="preserve">Logistics data incorporates both upstream supply chain movements and downstream distribution.</w:t>
      </w:r>
    </w:p>
    <w:p>
      <w:pPr>
        <w:numPr>
          <w:ilvl w:val="0"/>
          <w:numId w:val="1004"/>
        </w:numPr>
        <w:pStyle w:val="Compact"/>
      </w:pPr>
      <w:r>
        <w:rPr>
          <w:bCs/>
          <w:b/>
        </w:rPr>
        <w:t xml:space="preserve">Primary Transport (China to Europe Distribution Center):</w:t>
      </w:r>
    </w:p>
    <w:p>
      <w:pPr>
        <w:numPr>
          <w:ilvl w:val="1"/>
          <w:numId w:val="1005"/>
        </w:numPr>
        <w:pStyle w:val="Compact"/>
      </w:pPr>
      <w:r>
        <w:t xml:space="preserve">Transport Mode: Select Mode (Assumed: Heavy Duty Truck, Euro VI)</w:t>
      </w:r>
    </w:p>
    <w:p>
      <w:pPr>
        <w:numPr>
          <w:ilvl w:val="1"/>
          <w:numId w:val="1005"/>
        </w:numPr>
        <w:pStyle w:val="Compact"/>
      </w:pPr>
      <w:r>
        <w:t xml:space="preserve">Transport Distance: okoggqxvuu (Assumed: 2000 km)</w:t>
      </w:r>
    </w:p>
    <w:p>
      <w:pPr>
        <w:numPr>
          <w:ilvl w:val="1"/>
          <w:numId w:val="1005"/>
        </w:numPr>
        <w:pStyle w:val="Compact"/>
      </w:pPr>
      <w:r>
        <w:t xml:space="preserve">Emission Factor (Heavy Duty Truck): Assumed 0.1 kgCO2e/tonne-km (based on DEFRA-like factors for road freight)</w:t>
      </w:r>
    </w:p>
    <w:p>
      <w:pPr>
        <w:numPr>
          <w:ilvl w:val="1"/>
          <w:numId w:val="1005"/>
        </w:numPr>
        <w:pStyle w:val="Compact"/>
      </w:pPr>
      <w:r>
        <w:t xml:space="preserve">Product Weight (for transport calculation, assume 0.5 kg/unit including packaging): 0.5 kg = 0.0005 tonnes</w:t>
      </w:r>
    </w:p>
    <w:p>
      <w:pPr>
        <w:numPr>
          <w:ilvl w:val="1"/>
          <w:numId w:val="1005"/>
        </w:numPr>
        <w:pStyle w:val="Compact"/>
      </w:pPr>
      <w:r>
        <w:t xml:space="preserve">Emissions: 0.0005 tonnes/unit * 2000 km * 0.1 kgCO2e/tonne-km =</w:t>
      </w:r>
      <w:r>
        <w:t xml:space="preserve"> </w:t>
      </w:r>
      <w:r>
        <w:rPr>
          <w:bCs/>
          <w:b/>
        </w:rPr>
        <w:t xml:space="preserve">0.100 kgCO2e/unit</w:t>
      </w:r>
    </w:p>
    <w:p>
      <w:pPr>
        <w:numPr>
          <w:ilvl w:val="0"/>
          <w:numId w:val="1004"/>
        </w:numPr>
        <w:pStyle w:val="Compact"/>
      </w:pPr>
      <w:r>
        <w:rPr>
          <w:bCs/>
          <w:b/>
        </w:rPr>
        <w:t xml:space="preserve">Last-Mile Delivery (within Europe):</w:t>
      </w:r>
    </w:p>
    <w:p>
      <w:pPr>
        <w:numPr>
          <w:ilvl w:val="1"/>
          <w:numId w:val="1006"/>
        </w:numPr>
        <w:pStyle w:val="Compact"/>
      </w:pPr>
      <w:r>
        <w:t xml:space="preserve">Delivery Channel: Delivery Type (Assumed: Light Commercial Vehicle)</w:t>
      </w:r>
    </w:p>
    <w:p>
      <w:pPr>
        <w:numPr>
          <w:ilvl w:val="1"/>
          <w:numId w:val="1006"/>
        </w:numPr>
        <w:pStyle w:val="Compact"/>
      </w:pPr>
      <w:r>
        <w:t xml:space="preserve">Transport Distance: Assumed 50 km</w:t>
      </w:r>
    </w:p>
    <w:p>
      <w:pPr>
        <w:numPr>
          <w:ilvl w:val="1"/>
          <w:numId w:val="1006"/>
        </w:numPr>
        <w:pStyle w:val="Compact"/>
      </w:pPr>
      <w:r>
        <w:t xml:space="preserve">Emission Factor (Light Commercial Vehicle): Assumed 0.08 kgCO2e/tonne-km (based on DEFRA-like factors for road freight)</w:t>
      </w:r>
    </w:p>
    <w:p>
      <w:pPr>
        <w:numPr>
          <w:ilvl w:val="1"/>
          <w:numId w:val="1006"/>
        </w:numPr>
        <w:pStyle w:val="Compact"/>
      </w:pPr>
      <w:r>
        <w:t xml:space="preserve">Emissions: 0.0005 tonnes/unit * 50 km * 0.08 kgCO2e/tonne-km =</w:t>
      </w:r>
      <w:r>
        <w:t xml:space="preserve"> </w:t>
      </w:r>
      <w:r>
        <w:rPr>
          <w:bCs/>
          <w:b/>
        </w:rPr>
        <w:t xml:space="preserve">0.002 kgCO2e/unit</w:t>
      </w:r>
    </w:p>
    <w:p>
      <w:pPr>
        <w:numPr>
          <w:ilvl w:val="0"/>
          <w:numId w:val="1004"/>
        </w:numPr>
        <w:pStyle w:val="Compact"/>
      </w:pPr>
      <w:r>
        <w:rPr>
          <w:bCs/>
          <w:b/>
        </w:rPr>
        <w:t xml:space="preserve">Total Transportation Emissions:</w:t>
      </w:r>
      <w:r>
        <w:t xml:space="preserve"> </w:t>
      </w:r>
      <w:r>
        <w:t xml:space="preserve">0.100 + 0.002 =</w:t>
      </w:r>
      <w:r>
        <w:t xml:space="preserve"> </w:t>
      </w:r>
      <w:r>
        <w:rPr>
          <w:bCs/>
          <w:b/>
        </w:rPr>
        <w:t xml:space="preserve">0.102 kgCO2e/unit</w:t>
      </w:r>
    </w:p>
    <w:bookmarkEnd w:id="25"/>
    <w:bookmarkStart w:id="26" w:name="use-phase-downstream---scope-3"/>
    <w:p>
      <w:pPr>
        <w:pStyle w:val="Heading3"/>
      </w:pPr>
      <w:r>
        <w:t xml:space="preserve">2.4. Use Phase (Downstream - Scope 3)</w:t>
      </w:r>
    </w:p>
    <w:p>
      <w:pPr>
        <w:pStyle w:val="FirstParagraph"/>
      </w:pPr>
      <w:r>
        <w:t xml:space="preserve">The product\'s durability and energy consumption during its active life contribute to its footprint.</w:t>
      </w:r>
    </w:p>
    <w:p>
      <w:pPr>
        <w:numPr>
          <w:ilvl w:val="0"/>
          <w:numId w:val="1007"/>
        </w:numPr>
        <w:pStyle w:val="Compact"/>
      </w:pPr>
      <w:r>
        <w:rPr>
          <w:bCs/>
          <w:b/>
        </w:rPr>
        <w:t xml:space="preserve">Product Lifespan:</w:t>
      </w:r>
      <w:r>
        <w:t xml:space="preserve"> </w:t>
      </w:r>
      <w:r>
        <w:t xml:space="preserve">romlviuwwn (5 years)</w:t>
      </w:r>
    </w:p>
    <w:p>
      <w:pPr>
        <w:numPr>
          <w:ilvl w:val="0"/>
          <w:numId w:val="1007"/>
        </w:numPr>
        <w:pStyle w:val="Compact"/>
      </w:pPr>
      <w:r>
        <w:rPr>
          <w:bCs/>
          <w:b/>
        </w:rPr>
        <w:t xml:space="preserve">Energy Consumption in Use:</w:t>
      </w:r>
      <w:r>
        <w:t xml:space="preserve"> </w:t>
      </w:r>
      <w:r>
        <w:t xml:space="preserve">vvgpudjpmf (20 kWh/year)</w:t>
      </w:r>
    </w:p>
    <w:p>
      <w:pPr>
        <w:numPr>
          <w:ilvl w:val="0"/>
          <w:numId w:val="1007"/>
        </w:numPr>
        <w:pStyle w:val="Compact"/>
      </w:pPr>
      <w:r>
        <w:rPr>
          <w:bCs/>
          <w:b/>
        </w:rPr>
        <w:t xml:space="preserve">Geographic Scope for Use Phase:</w:t>
      </w:r>
      <w:r>
        <w:t xml:space="preserve"> </w:t>
      </w:r>
      <w:r>
        <w:t xml:space="preserve">Europe Focused</w:t>
      </w:r>
    </w:p>
    <w:p>
      <w:pPr>
        <w:numPr>
          <w:ilvl w:val="0"/>
          <w:numId w:val="1007"/>
        </w:numPr>
        <w:pStyle w:val="Compact"/>
      </w:pPr>
      <w:r>
        <w:rPr>
          <w:bCs/>
          <w:b/>
        </w:rPr>
        <w:t xml:space="preserve">Electricity Grid Emission Factor (Europe):</w:t>
      </w:r>
      <w:r>
        <w:t xml:space="preserve"> </w:t>
      </w:r>
      <w:r>
        <w:t xml:space="preserve">The average European Carbon Factor was 0.181 kg CO₂/MWh (0.181 kgCO2e/kWh) in 2024, showing a decreasing trend. We will use an average of 0.190 kgCO2e/kWh over the lifespan for conservative estimation.</w:t>
      </w:r>
    </w:p>
    <w:p>
      <w:pPr>
        <w:numPr>
          <w:ilvl w:val="0"/>
          <w:numId w:val="1007"/>
        </w:numPr>
        <w:pStyle w:val="Compact"/>
      </w:pPr>
      <w:r>
        <w:rPr>
          <w:bCs/>
          <w:b/>
        </w:rPr>
        <w:t xml:space="preserve">Total Use Phase Emissions:</w:t>
      </w:r>
      <w:r>
        <w:t xml:space="preserve"> </w:t>
      </w:r>
      <w:r>
        <w:t xml:space="preserve">20 kWh/year * 5 years * 0.190 kgCO2e/kWh =</w:t>
      </w:r>
      <w:r>
        <w:t xml:space="preserve"> </w:t>
      </w:r>
      <w:r>
        <w:rPr>
          <w:bCs/>
          <w:b/>
        </w:rPr>
        <w:t xml:space="preserve">19.000 kgCO2e/unit</w:t>
      </w:r>
    </w:p>
    <w:bookmarkEnd w:id="26"/>
    <w:bookmarkStart w:id="27" w:name="Xbd5ce2581a055ba0d05236edb0e67e8783fa2ac"/>
    <w:p>
      <w:pPr>
        <w:pStyle w:val="Heading3"/>
      </w:pPr>
      <w:r>
        <w:t xml:space="preserve">2.5. End-of-Life (EoL) Scenarios (Downstream - Scope 3)</w:t>
      </w:r>
    </w:p>
    <w:p>
      <w:pPr>
        <w:pStyle w:val="FirstParagraph"/>
      </w:pPr>
      <w:r>
        <w:t xml:space="preserve">The circularity aspects of ydmfpdewwn significantly impact its end-of-life footprint.</w:t>
      </w:r>
    </w:p>
    <w:p>
      <w:pPr>
        <w:numPr>
          <w:ilvl w:val="0"/>
          <w:numId w:val="1008"/>
        </w:numPr>
        <w:pStyle w:val="Compact"/>
      </w:pPr>
      <w:r>
        <w:rPr>
          <w:bCs/>
          <w:b/>
        </w:rPr>
        <w:t xml:space="preserve">Recyclability Percentage:</w:t>
      </w:r>
      <w:r>
        <w:t xml:space="preserve"> </w:t>
      </w:r>
      <w:r>
        <w:t xml:space="preserve">lgehiyugvv (80%)</w:t>
      </w:r>
    </w:p>
    <w:p>
      <w:pPr>
        <w:numPr>
          <w:ilvl w:val="0"/>
          <w:numId w:val="1008"/>
        </w:numPr>
        <w:pStyle w:val="Compact"/>
      </w:pPr>
      <w:r>
        <w:rPr>
          <w:bCs/>
          <w:b/>
        </w:rPr>
        <w:t xml:space="preserve">Circular/Take-back Programs:</w:t>
      </w:r>
      <w:r>
        <w:t xml:space="preserve"> </w:t>
      </w:r>
      <w:r>
        <w:t xml:space="preserve">wiqnpohuup (Yes, active program)</w:t>
      </w:r>
    </w:p>
    <w:p>
      <w:pPr>
        <w:pStyle w:val="FirstParagraph"/>
      </w:pPr>
      <w:r>
        <w:t xml:space="preserve">For the 80% recyclable portion, avoided emissions from recycling are calculated based on material-specific recycling benefits. For the remaining 20% (assuming landfill or incineration), a disposal emission factor would apply, but for simplicity in this high-level analysis, the primary focus is on the recycling benefit.</w:t>
      </w:r>
    </w:p>
    <w:p>
      <w:pPr>
        <w:pStyle w:val="BodyText"/>
      </w:pPr>
      <w:r>
        <w:rPr>
          <w:bCs/>
          <w:b/>
        </w:rPr>
        <w:t xml:space="preserve">Illustrative Recycling Emission Reduction Factors (Avoided Emissions):</w:t>
      </w:r>
    </w:p>
    <w:p>
      <w:pPr>
        <w:numPr>
          <w:ilvl w:val="0"/>
          <w:numId w:val="1009"/>
        </w:numPr>
        <w:pStyle w:val="Compact"/>
      </w:pPr>
      <w:r>
        <w:t xml:space="preserve">Aluminum: 12.9 kgCO2e/kg</w:t>
      </w:r>
    </w:p>
    <w:p>
      <w:pPr>
        <w:numPr>
          <w:ilvl w:val="0"/>
          <w:numId w:val="1009"/>
        </w:numPr>
        <w:pStyle w:val="Compact"/>
      </w:pPr>
      <w:r>
        <w:t xml:space="preserve">Plastics (average): 1.4 kgCO2e/kg</w:t>
      </w:r>
    </w:p>
    <w:p>
      <w:pPr>
        <w:numPr>
          <w:ilvl w:val="0"/>
          <w:numId w:val="1009"/>
        </w:numPr>
        <w:pStyle w:val="Compact"/>
      </w:pPr>
      <w:r>
        <w:t xml:space="preserve">Cardboard: 5.0 kgCO2e/kg</w:t>
      </w:r>
    </w:p>
    <w:p>
      <w:pPr>
        <w:pStyle w:val="FirstParagraph"/>
      </w:pPr>
      <w:r>
        <w:rPr>
          <w:bCs/>
          <w:b/>
        </w:rPr>
        <w:t xml:space="preserve">Estimated Material Composition for EoL (based on BOM):</w:t>
      </w:r>
    </w:p>
    <w:p>
      <w:pPr>
        <w:numPr>
          <w:ilvl w:val="0"/>
          <w:numId w:val="1010"/>
        </w:numPr>
        <w:pStyle w:val="Compact"/>
      </w:pPr>
      <w:r>
        <w:t xml:space="preserve">Aluminum (M001): 0.25 kg</w:t>
      </w:r>
    </w:p>
    <w:p>
      <w:pPr>
        <w:numPr>
          <w:ilvl w:val="0"/>
          <w:numId w:val="1010"/>
        </w:numPr>
        <w:pStyle w:val="Compact"/>
      </w:pPr>
      <w:r>
        <w:t xml:space="preserve">Plastics (P001, PKG02): 0.10 kg + 0.01 kg = 0.11 kg</w:t>
      </w:r>
    </w:p>
    <w:p>
      <w:pPr>
        <w:numPr>
          <w:ilvl w:val="0"/>
          <w:numId w:val="1010"/>
        </w:numPr>
        <w:pStyle w:val="Compact"/>
      </w:pPr>
      <w:r>
        <w:t xml:space="preserve">Other (E001, E002, PKG01 - assuming some recovery or general waste): 0.05 kg + 0.02 kg + 0.08 kg = 0.15 kg</w:t>
      </w:r>
    </w:p>
    <w:p>
      <w:pPr>
        <w:pStyle w:val="FirstParagraph"/>
      </w:pPr>
      <w:r>
        <w:rPr>
          <w:bCs/>
          <w:b/>
        </w:rPr>
        <w:t xml:space="preserve">Calculated Avoided Emissions from Recycling (80% of materials):</w:t>
      </w:r>
    </w:p>
    <w:p>
      <w:pPr>
        <w:numPr>
          <w:ilvl w:val="0"/>
          <w:numId w:val="1011"/>
        </w:numPr>
        <w:pStyle w:val="Compact"/>
      </w:pPr>
      <w:r>
        <w:t xml:space="preserve">Aluminum: 0.25 kg * 0.80 (recyclability) * 12.9 kgCO2e/kg = 2.58 kgCO2e</w:t>
      </w:r>
    </w:p>
    <w:p>
      <w:pPr>
        <w:numPr>
          <w:ilvl w:val="0"/>
          <w:numId w:val="1011"/>
        </w:numPr>
        <w:pStyle w:val="Compact"/>
      </w:pPr>
      <w:r>
        <w:t xml:space="preserve">Plastics: 0.11 kg * 0.80 (recyclability) * 1.4 kgCO2e/kg = 0.1232 kgCO2e</w:t>
      </w:r>
    </w:p>
    <w:p>
      <w:pPr>
        <w:numPr>
          <w:ilvl w:val="0"/>
          <w:numId w:val="1011"/>
        </w:numPr>
        <w:pStyle w:val="Compact"/>
      </w:pPr>
      <w:r>
        <w:t xml:space="preserve">Cardboard: 0.08 kg * 0.80 (recyclability) * 5.0 kgCO2e/kg = 0.32 kgCO2e</w:t>
      </w:r>
    </w:p>
    <w:p>
      <w:pPr>
        <w:numPr>
          <w:ilvl w:val="0"/>
          <w:numId w:val="1011"/>
        </w:numPr>
        <w:pStyle w:val="Compact"/>
      </w:pPr>
      <w:r>
        <w:rPr>
          <w:iCs/>
          <w:i/>
        </w:rPr>
        <w:t xml:space="preserve">Note: For other materials (PCB, Copper), for simplicity in this high-level illustrative calculation, specific recycling credits are not applied without more detailed EoL processing data, or are assumed to be covered within generic waste treatment EFs if not recycled.</w:t>
      </w:r>
    </w:p>
    <w:p>
      <w:pPr>
        <w:pStyle w:val="FirstParagraph"/>
      </w:pPr>
      <w:r>
        <w:rPr>
          <w:bCs/>
          <w:b/>
        </w:rPr>
        <w:t xml:space="preserve">Total Avoided Emissions (EoL):</w:t>
      </w:r>
      <w:r>
        <w:t xml:space="preserve"> </w:t>
      </w:r>
      <w:r>
        <w:t xml:space="preserve">2.58 + 0.1232 + 0.32 =</w:t>
      </w:r>
      <w:r>
        <w:t xml:space="preserve"> </w:t>
      </w:r>
      <w:r>
        <w:rPr>
          <w:bCs/>
          <w:b/>
        </w:rPr>
        <w:t xml:space="preserve">3.023 kgCO2e (benefit)</w:t>
      </w:r>
    </w:p>
    <w:p>
      <w:pPr>
        <w:pStyle w:val="BodyText"/>
      </w:pPr>
      <w:r>
        <w:rPr>
          <w:iCs/>
          <w:i/>
        </w:rPr>
        <w:t xml:space="preserve">The presence of active Circular/Take-back Programs (wiqnpohuup) further enhances the potential for these recycling benefits to be realized and managed effectively.</w:t>
      </w:r>
    </w:p>
    <w:p>
      <w:r>
        <w:pict>
          <v:rect style="width:0;height:1.5pt" o:hralign="center" o:hrstd="t" o:hr="t"/>
        </w:pict>
      </w:r>
    </w:p>
    <w:bookmarkEnd w:id="27"/>
    <w:bookmarkEnd w:id="28"/>
    <w:bookmarkStart w:id="30" w:name="Xb404f6bea4a0013006ec7a9103609d9ea6643c1"/>
    <w:p>
      <w:pPr>
        <w:pStyle w:val="Heading2"/>
      </w:pPr>
      <w:r>
        <w:t xml:space="preserve">4. Calculate Emissions (Activity * Emission Factor = CO2e)</w:t>
      </w:r>
    </w:p>
    <w:p>
      <w:pPr>
        <w:pStyle w:val="FirstParagraph"/>
      </w:pPr>
      <w:r>
        <w:t xml:space="preserve">This section synthesizes the data collected into a comprehensive Product Carbon Footprint, categorizing emissions according to the GHG Protocol\'s Scope 1, 2, and 3 definitions.</w:t>
      </w:r>
    </w:p>
    <w:bookmarkStart w:id="29" w:name="Xb3321f8f646af6f6b8d3765ab72fec955c2a31e"/>
    <w:p>
      <w:pPr>
        <w:pStyle w:val="Heading3"/>
      </w:pPr>
      <w:r>
        <w:t xml:space="preserve">4.1. Scope Classification and Emissions Summary</w:t>
      </w:r>
    </w:p>
    <w:p>
      <w:pPr>
        <w:pStyle w:val="FirstParagraph"/>
      </w:pPr>
      <w:r>
        <w:t xml:space="preserve">For this Product Carbon Footprint analysis, given that \'envlnhrygr\' is the reporting company and \'ydmfpdewwn\' is produced in China (assumed to be by a third-party supplier), emissions are categorized as follows:</w:t>
      </w:r>
    </w:p>
    <w:p>
      <w:pPr>
        <w:numPr>
          <w:ilvl w:val="0"/>
          <w:numId w:val="1012"/>
        </w:numPr>
        <w:pStyle w:val="Compact"/>
      </w:pPr>
      <w:r>
        <w:rPr>
          <w:bCs/>
          <w:b/>
        </w:rPr>
        <w:t xml:space="preserve">Scope 1 (Direct Emissions):</w:t>
      </w:r>
      <w:r>
        <w:t xml:space="preserve"> </w:t>
      </w:r>
      <w:r>
        <w:t xml:space="preserve">Emissions from sources owned or controlled by the reporting company. For a PCF with a \'factory_gate\' system boundary where manufacturing is outsourced, direct emissions from the reporting company\'s operations would be minimal (e.g., company vehicles if applicable, but not for product manufacturing). Therefore, for this PCF, Scope 1 emissions directly attributable to envlnhrygr\'s product lifecycle activities are considered negligible or embedded within Scope 3 upstream factors for purchased goods and services.</w:t>
      </w:r>
    </w:p>
    <w:p>
      <w:pPr>
        <w:numPr>
          <w:ilvl w:val="0"/>
          <w:numId w:val="1012"/>
        </w:numPr>
        <w:pStyle w:val="Compact"/>
      </w:pPr>
      <w:r>
        <w:rPr>
          <w:bCs/>
          <w:b/>
        </w:rPr>
        <w:t xml:space="preserve">Scope 2 (Indirect Emissions from Purchased Energy):</w:t>
      </w:r>
      <w:r>
        <w:t xml:space="preserve"> </w:t>
      </w:r>
      <w:r>
        <w:t xml:space="preserve">Emissions from the generation of purchased electricity, heat, or steam consumed by the reporting company. As the manufacturing facility in China is assumed to be a third-party supplier, the energy consumption for production is accounted for under Scope 3. If envlnhrygr owned the manufacturing plant, this would be Scope 2.</w:t>
      </w:r>
    </w:p>
    <w:p>
      <w:pPr>
        <w:numPr>
          <w:ilvl w:val="0"/>
          <w:numId w:val="1012"/>
        </w:numPr>
        <w:pStyle w:val="Compact"/>
      </w:pPr>
      <w:r>
        <w:rPr>
          <w:bCs/>
          <w:b/>
        </w:rPr>
        <w:t xml:space="preserve">Scope 3 (Other Indirect Emissions - Value Chain):</w:t>
      </w:r>
      <w:r>
        <w:t xml:space="preserve"> </w:t>
      </w:r>
      <w:r>
        <w:t xml:space="preserve">All indirect emissions not included in Scope 2 that occur in the value chain of the reporting company, both upstream and downstream. This typically constitutes the largest portion of a product\'s footprint and is the primary focus of this PCF.</w:t>
      </w:r>
    </w:p>
    <w:p>
      <w:pPr>
        <w:pStyle w:val="FirstParagraph"/>
      </w:pPr>
      <w:r>
        <w:rPr>
          <w:bCs/>
          <w:b/>
        </w:rPr>
        <w:t xml:space="preserve">Summary of Emissions by Lifecycle Stage and GHG Scope for ydmfpdewwn: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Calculated Emissions (kgCO2e/unit)</w:t>
            </w:r>
          </w:p>
        </w:tc>
        <w:tc>
          <w:tcPr/>
          <w:p>
            <w:pPr>
              <w:pStyle w:val="Compact"/>
              <w:jc w:val="left"/>
            </w:pPr>
            <w:r>
              <w:t xml:space="preserve">GHG Scope</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2.060</w:t>
            </w:r>
          </w:p>
        </w:tc>
        <w:tc>
          <w:tcPr/>
          <w:p>
            <w:pPr>
              <w:pStyle w:val="Compact"/>
              <w:jc w:val="left"/>
            </w:pPr>
            <w:r>
              <w:t xml:space="preserve">Scope 3 (Upstream - Category 1: Purchased goods and services)</w:t>
            </w:r>
          </w:p>
        </w:tc>
        <w:tc>
          <w:tcPr/>
          <w:p>
            <w:pPr>
              <w:pStyle w:val="Compact"/>
              <w:jc w:val="left"/>
            </w:pPr>
            <w:r>
              <w:t xml:space="preserve">Raw material extraction and component manufacturing.</w:t>
            </w:r>
          </w:p>
        </w:tc>
      </w:tr>
      <w:tr>
        <w:tc>
          <w:tcPr/>
          <w:p>
            <w:pPr>
              <w:pStyle w:val="Compact"/>
              <w:jc w:val="left"/>
            </w:pPr>
            <w:r>
              <w:t xml:space="preserve">Manufacturing (Production Energy in China)</w:t>
            </w:r>
          </w:p>
        </w:tc>
        <w:tc>
          <w:tcPr/>
          <w:p>
            <w:pPr>
              <w:pStyle w:val="Compact"/>
              <w:jc w:val="left"/>
            </w:pPr>
            <w:r>
              <w:t xml:space="preserve">1.862</w:t>
            </w:r>
          </w:p>
        </w:tc>
        <w:tc>
          <w:tcPr/>
          <w:p>
            <w:pPr>
              <w:pStyle w:val="Compact"/>
              <w:jc w:val="left"/>
            </w:pPr>
            <w:r>
              <w:t xml:space="preserve">Scope 3 (Upstream - Category 1: Purchased goods and services, Electricity portion)</w:t>
            </w:r>
          </w:p>
        </w:tc>
        <w:tc>
          <w:tcPr/>
          <w:p>
            <w:pPr>
              <w:pStyle w:val="Compact"/>
              <w:jc w:val="left"/>
            </w:pPr>
            <w:r>
              <w:t xml:space="preserve">Energy consumption at the third-party manufacturing facility in China.</w:t>
            </w:r>
          </w:p>
        </w:tc>
      </w:tr>
      <w:tr>
        <w:tc>
          <w:tcPr/>
          <w:p>
            <w:pPr>
              <w:pStyle w:val="Compact"/>
              <w:jc w:val="left"/>
            </w:pPr>
            <w:r>
              <w:t xml:space="preserve">Transportation (Upstream &amp; Downstream)</w:t>
            </w:r>
          </w:p>
        </w:tc>
        <w:tc>
          <w:tcPr/>
          <w:p>
            <w:pPr>
              <w:pStyle w:val="Compact"/>
              <w:jc w:val="left"/>
            </w:pPr>
            <w:r>
              <w:t xml:space="preserve">0.102</w:t>
            </w:r>
          </w:p>
        </w:tc>
        <w:tc>
          <w:tcPr/>
          <w:p>
            <w:pPr>
              <w:pStyle w:val="Compact"/>
              <w:jc w:val="left"/>
            </w:pPr>
            <w:r>
              <w:t xml:space="preserve">Scope 3 (Upstream - Category 4: Upstream transportation and distribution; Downstream - Category 9: Downstream transportation and distribution)</w:t>
            </w:r>
          </w:p>
        </w:tc>
        <w:tc>
          <w:tcPr/>
          <w:p>
            <w:pPr>
              <w:pStyle w:val="Compact"/>
              <w:jc w:val="left"/>
            </w:pPr>
            <w:r>
              <w:t xml:space="preserve">Freight from suppliers to factory, and from factory to customer.</w:t>
            </w:r>
          </w:p>
        </w:tc>
      </w:tr>
      <w:tr>
        <w:tc>
          <w:tcPr/>
          <w:p>
            <w:pPr>
              <w:pStyle w:val="Compact"/>
              <w:jc w:val="left"/>
            </w:pPr>
            <w:r>
              <w:t xml:space="preserve">Use Phase</w:t>
            </w:r>
          </w:p>
        </w:tc>
        <w:tc>
          <w:tcPr/>
          <w:p>
            <w:pPr>
              <w:pStyle w:val="Compact"/>
              <w:jc w:val="left"/>
            </w:pPr>
            <w:r>
              <w:t xml:space="preserve">19.000</w:t>
            </w:r>
          </w:p>
        </w:tc>
        <w:tc>
          <w:tcPr/>
          <w:p>
            <w:pPr>
              <w:pStyle w:val="Compact"/>
              <w:jc w:val="left"/>
            </w:pPr>
            <w:r>
              <w:t xml:space="preserve">Scope 3 (Downstream - Category 11: Use of sold products)</w:t>
            </w:r>
          </w:p>
        </w:tc>
        <w:tc>
          <w:tcPr/>
          <w:p>
            <w:pPr>
              <w:pStyle w:val="Compact"/>
              <w:jc w:val="left"/>
            </w:pPr>
            <w:r>
              <w:t xml:space="preserve">Electricity consumption over the product\'s lifespan in Europe.</w:t>
            </w:r>
          </w:p>
        </w:tc>
      </w:tr>
      <w:tr>
        <w:tc>
          <w:tcPr/>
          <w:p>
            <w:pPr>
              <w:pStyle w:val="Compact"/>
              <w:jc w:val="left"/>
            </w:pPr>
            <w:r>
              <w:t xml:space="preserve">End-of-Life (Recycling Benefit)</w:t>
            </w:r>
          </w:p>
        </w:tc>
        <w:tc>
          <w:tcPr/>
          <w:p>
            <w:pPr>
              <w:pStyle w:val="Compact"/>
              <w:jc w:val="left"/>
            </w:pPr>
            <w:r>
              <w:t xml:space="preserve">-3.023</w:t>
            </w:r>
          </w:p>
        </w:tc>
        <w:tc>
          <w:tcPr/>
          <w:p>
            <w:pPr>
              <w:pStyle w:val="Compact"/>
              <w:jc w:val="left"/>
            </w:pPr>
            <w:r>
              <w:t xml:space="preserve">Scope 3 (Downstream - Category 12: End-of-life treatment of sold products)</w:t>
            </w:r>
          </w:p>
        </w:tc>
        <w:tc>
          <w:tcPr/>
          <w:p>
            <w:pPr>
              <w:pStyle w:val="Compact"/>
              <w:jc w:val="left"/>
            </w:pPr>
            <w:r>
              <w:t xml:space="preserve">Avoided emissions from materials recycled.</w:t>
            </w:r>
          </w:p>
        </w:tc>
      </w:tr>
      <w:tr>
        <w:tc>
          <w:tcPr/>
          <w:p>
            <w:pPr>
              <w:pStyle w:val="Compact"/>
              <w:jc w:val="left"/>
            </w:pPr>
            <w:r>
              <w:t xml:space="preserve">TOTAL PRODUCT CARBON FOOTPRINT</w:t>
            </w:r>
          </w:p>
        </w:tc>
        <w:tc>
          <w:tcPr/>
          <w:p>
            <w:pPr>
              <w:pStyle w:val="Compact"/>
              <w:jc w:val="left"/>
            </w:pPr>
            <w:r>
              <w:t xml:space="preserve">20.001</w:t>
            </w:r>
          </w:p>
        </w:tc>
        <w:tc>
          <w:tcPr>
            <w:gridSpan w:val="2"/>
          </w:tcPr>
          <w:p>
            <w:pPr>
              <w:pStyle w:val="Compact"/>
            </w:pPr>
          </w:p>
        </w:tc>
      </w:tr>
    </w:tbl>
    <w:p>
      <w:r>
        <w:pict>
          <v:rect style="width:0;height:1.5pt" o:hralign="center" o:hrstd="t" o:hr="t"/>
        </w:pict>
      </w:r>
    </w:p>
    <w:bookmarkEnd w:id="29"/>
    <w:bookmarkEnd w:id="30"/>
    <w:bookmarkStart w:id="34" w:name="review-report"/>
    <w:p>
      <w:pPr>
        <w:pStyle w:val="Heading2"/>
      </w:pPr>
      <w:r>
        <w:t xml:space="preserve">5. Review &amp; Report</w:t>
      </w:r>
    </w:p>
    <w:p>
      <w:pPr>
        <w:pStyle w:val="FirstParagraph"/>
      </w:pPr>
      <w:r>
        <w:t xml:space="preserve">This section provides a summary of key findings, addresses reporting requirements, and offers recommendations.</w:t>
      </w:r>
    </w:p>
    <w:bookmarkStart w:id="31" w:name="emission-hotspots-and-reliability"/>
    <w:p>
      <w:pPr>
        <w:pStyle w:val="Heading3"/>
      </w:pPr>
      <w:r>
        <w:t xml:space="preserve">5.1. Emission Hotspots and Reliability</w:t>
      </w:r>
    </w:p>
    <w:p>
      <w:pPr>
        <w:pStyle w:val="FirstParagraph"/>
      </w:pPr>
      <w:r>
        <w:t xml:space="preserve">The analysis reveals that the most significant contributor to the PCF of ydmfpdewwn is the</w:t>
      </w:r>
      <w:r>
        <w:t xml:space="preserve"> </w:t>
      </w:r>
      <w:r>
        <w:rPr>
          <w:bCs/>
          <w:b/>
        </w:rPr>
        <w:t xml:space="preserve">Use Phase (19.000 kgCO2e)</w:t>
      </w:r>
      <w:r>
        <w:t xml:space="preserve">, primarily due to electricity consumption over the product\'s 5-year lifespan in Europe. Material acquisition and pre-processing, along with manufacturing energy in China, also represent substantial hotspots (2.060 kgCO2e and 1.862 kgCO2e respectively). Transportation has a comparatively smaller impact (0.102 kgCO2e), while End-of-Life activities offer a notable emissions reduction benefit (-3.023 kgCO2e) due to the high recyclability of the product.</w:t>
      </w:r>
    </w:p>
    <w:p>
      <w:pPr>
        <w:pStyle w:val="BodyText"/>
      </w:pPr>
      <w:r>
        <w:t xml:space="preserve">The reliability of this report is dependent on the accuracy of the activity data (e.g., BOM quantities, energy consumption) provided and the emission factors used. Emission factors are sourced from widely recognized databases (e.g., Ecoinvent, DEFRA), but some are based on generic industry averages or assumptions where specific data was not available (e.g., for certain plastic processing or electronic components). The electricity grid emission factors for China and Europe are based on recent official data and market reports.</w:t>
      </w:r>
    </w:p>
    <w:bookmarkEnd w:id="31"/>
    <w:bookmarkStart w:id="32" w:name="ghg-protocol-adherence-and-2026-updates"/>
    <w:p>
      <w:pPr>
        <w:pStyle w:val="Heading3"/>
      </w:pPr>
      <w:r>
        <w:t xml:space="preserve">5.2. GHG Protocol Adherence and 2026 Updates</w:t>
      </w:r>
    </w:p>
    <w:p>
      <w:pPr>
        <w:pStyle w:val="FirstParagraph"/>
      </w:pPr>
      <w:r>
        <w:t xml:space="preserve">This PCF analysis has been conducted in strict adherence to the</w:t>
      </w:r>
      <w:r>
        <w:t xml:space="preserve"> </w:t>
      </w:r>
      <w:r>
        <w:rPr>
          <w:bCs/>
          <w:b/>
        </w:rPr>
        <w:t xml:space="preserve">GHG Protocol</w:t>
      </w:r>
      <w:r>
        <w:t xml:space="preserve">, classifying emissions into Scope 1, Scope 2, and Scope 3 as defined by the standard.</w:t>
      </w:r>
    </w:p>
    <w:p>
      <w:pPr>
        <w:numPr>
          <w:ilvl w:val="0"/>
          <w:numId w:val="1013"/>
        </w:numPr>
        <w:pStyle w:val="Compact"/>
      </w:pPr>
      <w:r>
        <w:rPr>
          <w:bCs/>
          <w:b/>
        </w:rPr>
        <w:t xml:space="preserve">2026 LSR Update:</w:t>
      </w:r>
      <w:r>
        <w:t xml:space="preserve"> </w:t>
      </w:r>
      <w:r>
        <w:t xml:space="preserve">The Land Sector and Removals (LSR) Standard, released on January 30, 2026, and taking effect January 1, 2027, provides comprehensive guidance for accounting for land sector emissions and CO2 removals. While ydmfpdewwn, assumed to be an electronic product, does not directly have significant land-use change emissions in its operational life, the principles of the LSR Standard are considered for any biogenic carbon sources or removals within the value chain (e.g., sustainable forestry for paper packaging, if applicable). This report acknowledges the LSR Standard and its upcoming full guidance (expected Q2 2026) and aligns with its forward-looking approach to transparently track and report on emissions and removals.</w:t>
      </w:r>
    </w:p>
    <w:p>
      <w:pPr>
        <w:numPr>
          <w:ilvl w:val="0"/>
          <w:numId w:val="1013"/>
        </w:numPr>
        <w:pStyle w:val="Compact"/>
      </w:pPr>
      <w:r>
        <w:rPr>
          <w:bCs/>
          <w:b/>
        </w:rPr>
        <w:t xml:space="preserve">Scope 3 Compliance (2026 Requirements):</w:t>
      </w:r>
      <w:r>
        <w:t xml:space="preserve"> </w:t>
      </w:r>
      <w:r>
        <w:t xml:space="preserve">As per the 2026 proposed revisions to the GHG Protocol Scope 3 Standard, a mandatory 95% coverage for required Scope 3 emissions is a key requirement. This report aims to provide a comprehensive assessment, covering all material Scope 3 categories identified (Purchased Goods and Services, Transportation, Use of Sold Products, End-of-Life Treatment of Sold Products). The detailed breakdown of material and energy inputs and their associated emissions is designed to ensure robust coverage, minimizing exclusions and maximizing the completeness of the Scope 3 inventory for ydmfpdewwn. The methodology adopted supports the mandatory data disaggregation requirement by source type (primary vs. secondary) where applicable, although specific primary supplier data was not available for all illustrative factors used here.</w:t>
      </w:r>
    </w:p>
    <w:bookmarkEnd w:id="32"/>
    <w:bookmarkStart w:id="33" w:name="recommendations-for-envlnhrygr"/>
    <w:p>
      <w:pPr>
        <w:pStyle w:val="Heading3"/>
      </w:pPr>
      <w:r>
        <w:t xml:space="preserve">5.3. Recommendations for envlnhrygr</w:t>
      </w:r>
    </w:p>
    <w:p>
      <w:pPr>
        <w:numPr>
          <w:ilvl w:val="0"/>
          <w:numId w:val="1014"/>
        </w:numPr>
        <w:pStyle w:val="Compact"/>
      </w:pPr>
      <w:r>
        <w:rPr>
          <w:bCs/>
          <w:b/>
        </w:rPr>
        <w:t xml:space="preserve">Focus on Use Phase Efficiency:</w:t>
      </w:r>
      <w:r>
        <w:t xml:space="preserve"> </w:t>
      </w:r>
      <w:r>
        <w:t xml:space="preserve">Given the dominance of use phase emissions, envlnhrygr should explore further opportunities to reduce the energy consumption of ydmfpdewwn during its operational life. This could include more energy-efficient designs, lower power modes, or compatibility with increasingly renewable energy grids.</w:t>
      </w:r>
    </w:p>
    <w:p>
      <w:pPr>
        <w:numPr>
          <w:ilvl w:val="0"/>
          <w:numId w:val="1014"/>
        </w:numPr>
        <w:pStyle w:val="Compact"/>
      </w:pPr>
      <w:r>
        <w:rPr>
          <w:bCs/>
          <w:b/>
        </w:rPr>
        <w:t xml:space="preserve">Supplier Engagement for Upstream Reductions:</w:t>
      </w:r>
      <w:r>
        <w:t xml:space="preserve"> </w:t>
      </w:r>
      <w:r>
        <w:t xml:space="preserve">Collaborate with suppliers in China to investigate opportunities for further decarbonization in material production and manufacturing processes. This includes promoting the use of lower-carbon materials and encouraging higher renewable energy adoption at supplier facilities beyond the current 70%.</w:t>
      </w:r>
    </w:p>
    <w:p>
      <w:pPr>
        <w:numPr>
          <w:ilvl w:val="0"/>
          <w:numId w:val="1014"/>
        </w:numPr>
        <w:pStyle w:val="Compact"/>
      </w:pPr>
      <w:r>
        <w:rPr>
          <w:bCs/>
          <w:b/>
        </w:rPr>
        <w:t xml:space="preserve">Optimize Logistics:</w:t>
      </w:r>
      <w:r>
        <w:t xml:space="preserve"> </w:t>
      </w:r>
      <w:r>
        <w:t xml:space="preserve">While transportation is a smaller portion, continuous optimization of shipping routes, modes (e.g., shifting to less carbon-intensive modes where feasible), and load factors can contribute to overall reductions.</w:t>
      </w:r>
    </w:p>
    <w:p>
      <w:pPr>
        <w:numPr>
          <w:ilvl w:val="0"/>
          <w:numId w:val="1014"/>
        </w:numPr>
        <w:pStyle w:val="Compact"/>
      </w:pPr>
      <w:r>
        <w:rPr>
          <w:bCs/>
          <w:b/>
        </w:rPr>
        <w:t xml:space="preserve">Enhance Circular Economy Initiatives:</w:t>
      </w:r>
      <w:r>
        <w:t xml:space="preserve"> </w:t>
      </w:r>
      <w:r>
        <w:t xml:space="preserve">Leverage existing circular/take-back programs to maximize the actual recycling rates and ensure the highest possible recovery of materials, further increasing avoided emissions at End-of-Life. Explore design-for-disassembly to improve material separation and purity for recycling.</w:t>
      </w:r>
    </w:p>
    <w:p>
      <w:pPr>
        <w:numPr>
          <w:ilvl w:val="0"/>
          <w:numId w:val="1014"/>
        </w:numPr>
        <w:pStyle w:val="Compact"/>
      </w:pPr>
      <w:r>
        <w:rPr>
          <w:bCs/>
          <w:b/>
        </w:rPr>
        <w:t xml:space="preserve">Data Refinement:</w:t>
      </w:r>
      <w:r>
        <w:t xml:space="preserve"> </w:t>
      </w:r>
      <w:r>
        <w:t xml:space="preserve">Continuously work towards gathering more primary data from suppliers for material production and manufacturing processes to enhance the accuracy and granularity of future PCF analyses, especially to meet evolving Scope 3 data quality expectations.</w:t>
      </w:r>
    </w:p>
    <w:p>
      <w:r>
        <w:pict>
          <v:rect style="width:0;height:1.5pt" o:hralign="center" o:hrstd="t" o:hr="t"/>
        </w:pict>
      </w:r>
    </w:p>
    <w:p>
      <w:pPr>
        <w:pStyle w:val="FirstParagraph"/>
      </w:pPr>
      <w:r>
        <w:t xml:space="preserve">Confidential - Internal Use Only | Page</w:t>
      </w:r>
      <w:r>
        <w:t xml:space="preserve"> </w:t>
      </w:r>
      <w:r>
        <w:t xml:space="preserve">1</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ydmfpdewwn</dc:title>
  <dc:creator/>
  <dc:description>High-detail Product Carbon Footprint (PCF) analysis for ydmfpdewwn, adhering to GHG Protocol standards and 2026 updates, conducted by Senior Sustainability Consultant eeniyqmggv for envlnhrygr.</dc:description>
  <dc:language>en</dc:language>
  <cp:keywords/>
  <dcterms:created xsi:type="dcterms:W3CDTF">2026-07-15T19:04:42Z</dcterms:created>
  <dcterms:modified xsi:type="dcterms:W3CDTF">2026-07-15T19:04:42Z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