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xzyrxtxssy</w:t>
      </w:r>
    </w:p>
    <w:p>
      <w:pPr>
        <w:pStyle w:val="FirstParagraph"/>
      </w:pPr>
      <w:r>
        <w:t xml:space="preserve">carboncalcpcf.com</w:t>
      </w:r>
    </w:p>
    <w:bookmarkStart w:id="21" w:name="product-carbon-footprint-report"/>
    <w:p>
      <w:pPr>
        <w:pStyle w:val="Heading1"/>
      </w:pPr>
      <w:r>
        <w:t xml:space="preserve">Product Carbon Footprint Report</w:t>
      </w:r>
    </w:p>
    <w:bookmarkStart w:id="20" w:name="product-xzyrxtxssy"/>
    <w:p>
      <w:pPr>
        <w:pStyle w:val="Heading2"/>
      </w:pPr>
      <w:r>
        <w:t xml:space="preserve">Product: xzyrxtxssy</w:t>
      </w:r>
    </w:p>
    <w:p>
      <w:pPr>
        <w:pStyle w:val="FirstParagraph"/>
      </w:pPr>
      <w:r>
        <w:rPr>
          <w:bCs/>
          <w:b/>
        </w:rPr>
        <w:t xml:space="preserve">Company Name:</w:t>
      </w:r>
      <w:r>
        <w:t xml:space="preserve"> </w:t>
      </w:r>
      <w:r>
        <w:t xml:space="preserve">quozoyzjhr</w:t>
      </w:r>
    </w:p>
    <w:p>
      <w:pPr>
        <w:pStyle w:val="BodyText"/>
      </w:pPr>
      <w:r>
        <w:rPr>
          <w:bCs/>
          <w:b/>
        </w:rPr>
        <w:t xml:space="preserve">Senior Sustainability Consultant:</w:t>
      </w:r>
      <w:r>
        <w:t xml:space="preserve"> </w:t>
      </w:r>
      <w:r>
        <w:t xml:space="preserve">ottegowtif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specific conditions and evolving data may lead to variations in actual impacts.</w:t>
      </w:r>
    </w:p>
    <w:bookmarkEnd w:id="20"/>
    <w:bookmarkEnd w:id="21"/>
    <w:bookmarkStart w:id="52" w:name="X9d5ac4727c57e278f69631af44fc142ae6d8034"/>
    <w:p>
      <w:pPr>
        <w:pStyle w:val="Heading1"/>
      </w:pPr>
      <w:r>
        <w:t xml:space="preserve">Product Carbon Footprint Report: xzyrxtxssy</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detailed Product Carbon Footprint (PCF) analysis for the product xzyrxtxssy, manufactured by quozoyzjhr. The analysis adheres strictly to the GHG Protocol accounting standard, incorporating the latest 2026 Land Sector and Removals (LSR) Standard and ensuring a minimum of 95% Scope 3 coverage. The primary goal is to identify and quantify greenhouse gas (GHG) emissions across the product\'s lifecycle, from raw material extraction to end-of-life, providing insights into emission hotspots and opportunities for reduction. This assessment was performed by ottegowtif, Senior Sustainability Consultant.</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xzyrxtxssy</w:t>
      </w:r>
      <w:r>
        <w:t xml:space="preserve">, serving its intended purpose for its specified lifespan.</w:t>
      </w:r>
    </w:p>
    <w:bookmarkEnd w:id="23"/>
    <w:bookmarkStart w:id="24" w:name="system-boundary"/>
    <w:p>
      <w:pPr>
        <w:pStyle w:val="Heading3"/>
      </w:pPr>
      <w:r>
        <w:t xml:space="preserve">System Boundary</w:t>
      </w:r>
    </w:p>
    <w:p>
      <w:pPr>
        <w:pStyle w:val="FirstParagraph"/>
      </w:pPr>
      <w:r>
        <w:t xml:space="preserve">The system boundary for this assessment is</w:t>
      </w:r>
      <w:r>
        <w:t xml:space="preserve"> </w:t>
      </w:r>
      <w:r>
        <w:rPr>
          <w:bCs/>
          <w:b/>
        </w:rPr>
        <w:t xml:space="preserve">"factory_gate"</w:t>
      </w:r>
      <w:r>
        <w:t xml:space="preserve">, which typically includes raw material acquisition, manufacturing, and transport to the factory gate. However, for a comprehensive PCF, this report extends the analysis to a "Cradle-to-Grave" approach, encompassing all stages from raw material extraction and processing, through manufacturing, transportation, the use phase, and finally, end-of-life treatment. This expanded boundary is essential for achieving the required 95% Scope 3 coverage.</w:t>
      </w:r>
    </w:p>
    <w:bookmarkEnd w:id="24"/>
    <w:bookmarkStart w:id="25" w:name="geographic-scope"/>
    <w:p>
      <w:pPr>
        <w:pStyle w:val="Heading3"/>
      </w:pPr>
      <w:r>
        <w:t xml:space="preserve">Geographic Scope</w:t>
      </w:r>
    </w:p>
    <w:p>
      <w:pPr>
        <w:pStyle w:val="FirstParagraph"/>
      </w:pPr>
      <w:r>
        <w:t xml:space="preserve">The geographic scope for final production is</w:t>
      </w:r>
      <w:r>
        <w:t xml:space="preserve"> </w:t>
      </w:r>
      <w:r>
        <w:rPr>
          <w:bCs/>
          <w:b/>
        </w:rPr>
        <w:t xml:space="preserve">China</w:t>
      </w:r>
      <w:r>
        <w:t xml:space="preserve">, with a specific focus on a</w:t>
      </w:r>
      <w:r>
        <w:t xml:space="preserve"> </w:t>
      </w:r>
      <w:r>
        <w:rPr>
          <w:bCs/>
          <w:b/>
        </w:rPr>
        <w:t xml:space="preserve">Europe-Focused Supply Chain</w:t>
      </w:r>
      <w:r>
        <w:t xml:space="preserve"> </w:t>
      </w:r>
      <w:r>
        <w:t xml:space="preserve">for upstream activities.</w:t>
      </w:r>
    </w:p>
    <w:bookmarkEnd w:id="25"/>
    <w:bookmarkStart w:id="26" w:name="accounting-standard"/>
    <w:p>
      <w:pPr>
        <w:pStyle w:val="Heading3"/>
      </w:pPr>
      <w:r>
        <w:t xml:space="preserve">Accounting Standard</w:t>
      </w:r>
    </w:p>
    <w:p>
      <w:pPr>
        <w:pStyle w:val="FirstParagraph"/>
      </w:pPr>
      <w:r>
        <w:t xml:space="preserve">This PCF analysis is conducted in accordance with the</w:t>
      </w:r>
      <w:r>
        <w:t xml:space="preserve"> </w:t>
      </w:r>
      <w:r>
        <w:rPr>
          <w:bCs/>
          <w:b/>
        </w:rPr>
        <w:t xml:space="preserve">GHG Protocol Product Standard (A Life Cycle Approach to Assessing Greenhouse Gas Emissions)</w:t>
      </w:r>
      <w:r>
        <w:t xml:space="preserve">. Emissions are categorized into Scope 1 (direct emissions), Scope 2 (indirect emissions from purchased energy), and Scope 3 (all other indirect emissions in the value chain). Furthermore, the analysis incorporates principles from the</w:t>
      </w:r>
      <w:r>
        <w:t xml:space="preserve"> </w:t>
      </w:r>
      <w:r>
        <w:rPr>
          <w:bCs/>
          <w:b/>
        </w:rPr>
        <w:t xml:space="preserve">GHG Protocol Land Sector and Removals (LSR) Standard (2026 Update)</w:t>
      </w:r>
      <w:r>
        <w:t xml:space="preserve">, acknowledging the importance of land use change and carbon removal activities in the product\'s footprint.</w:t>
      </w:r>
    </w:p>
    <w:bookmarkEnd w:id="26"/>
    <w:bookmarkStart w:id="27" w:name="allocation"/>
    <w:p>
      <w:pPr>
        <w:pStyle w:val="Heading3"/>
      </w:pPr>
      <w:r>
        <w:t xml:space="preserve">Allocation</w:t>
      </w:r>
    </w:p>
    <w:p>
      <w:pPr>
        <w:pStyle w:val="FirstParagraph"/>
      </w:pPr>
      <w:r>
        <w:t xml:space="preserve">Allocation of emissions for multi-output processes or recycled content is performed using mass-based allocation where specific data is unavailable for economic allocation, following GHG Protocol guidance. Recycling benefits are accounted for using the "recycled content" approach (sometimes referred to as "cut-off" or "avoided burden" method depending on the specific material flow, generally aiming to credit recycled input material).</w:t>
      </w:r>
    </w:p>
    <w:p>
      <w:r>
        <w:pict>
          <v:rect style="width:0;height:1.5pt" o:hralign="center" o:hrstd="t" o:hr="t"/>
        </w:pict>
      </w:r>
    </w:p>
    <w:bookmarkEnd w:id="27"/>
    <w:bookmarkEnd w:id="28"/>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The lifecycle of xzyrxtxssy is mapped across the following stages, with detailed data collection for each:</w:t>
      </w:r>
    </w:p>
    <w:bookmarkStart w:id="29" w:name="Xbc374b9b819252f363695326adb7c260a28ffa7"/>
    <w:p>
      <w:pPr>
        <w:pStyle w:val="Heading3"/>
      </w:pPr>
      <w:r>
        <w:t xml:space="preserve">Material Acquisition and Pre-processing (Scope 3 - Upstream)</w:t>
      </w:r>
    </w:p>
    <w:p>
      <w:pPr>
        <w:pStyle w:val="FirstParagraph"/>
      </w:pPr>
      <w:r>
        <w:t xml:space="preserve">This stage covers the extraction of raw materials, their processing into intermediate products, and transportation to the manufacturing facility. High-accuracy material impact calculation is based on the provided Bill of Materials (BOM) data.</w:t>
      </w:r>
    </w:p>
    <w:bookmarkEnd w:id="29"/>
    <w:bookmarkStart w:id="30" w:name="detailed-bill-of-materials-bom"/>
    <w:p>
      <w:pPr>
        <w:pStyle w:val="Heading3"/>
      </w:pPr>
      <w:r>
        <w:t xml:space="preserve">Detailed Bill of Materials (BOM)</w:t>
      </w:r>
    </w:p>
    <w:p>
      <w:pPr>
        <w:pStyle w:val="FirstParagraph"/>
      </w:pPr>
      <w:r>
        <w:t xml:space="preserve">The following table presents the high-detail Bill of Materials for xzyrxtxssy, with emission factors directly provided and used for calculation.</w:t>
      </w:r>
    </w:p>
    <w:tbl>
      <w:tblPr>
        <w:tblStyle w:val="Table"/>
        <w:tblW w:type="pct" w:w="500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w:t>
            </w:r>
          </w:p>
          <w:p>
            <w:pPr>
              <w:pStyle w:val="Compact"/>
              <w:jc w:val="left"/>
            </w:pPr>
            <w:r>
              <w:t xml:space="preserve">)</w:t>
            </w:r>
          </w:p>
        </w:tc>
        <w:tc>
          <w:tcPr/>
          <w:p>
            <w:pPr>
              <w:pStyle w:val="Compact"/>
              <w:jc w:val="left"/>
            </w:pPr>
            <w:r>
              <w:t xml:space="preserve">Total Carbon (kg CO2e)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30"/>
    <w:bookmarkStart w:id="31" w:name="manufacturing-and-production-scope-1-2"/>
    <w:p>
      <w:pPr>
        <w:pStyle w:val="Heading3"/>
      </w:pPr>
      <w:r>
        <w:t xml:space="preserve">Manufacturing and Production (Scope 1 &amp; 2)</w:t>
      </w:r>
    </w:p>
    <w:p>
      <w:pPr>
        <w:pStyle w:val="FirstParagraph"/>
      </w:pPr>
      <w:r>
        <w:t xml:space="preserve">This stage accounts for the energy consumption and direct emissions during the assembly and processing of the product in the final production country, China.</w:t>
      </w:r>
    </w:p>
    <w:p>
      <w:pPr>
        <w:numPr>
          <w:ilvl w:val="0"/>
          <w:numId w:val="1001"/>
        </w:numPr>
        <w:pStyle w:val="Compact"/>
      </w:pPr>
      <w:r>
        <w:rPr>
          <w:bCs/>
          <w:b/>
        </w:rPr>
        <w:t xml:space="preserve">Renewable Energy Usage:</w:t>
      </w:r>
    </w:p>
    <w:p>
      <w:pPr>
        <w:numPr>
          <w:ilvl w:val="0"/>
          <w:numId w:val="1000"/>
        </w:numPr>
        <w:pStyle w:val="Compact"/>
      </w:pPr>
      <w:r>
        <w:t xml:space="preserve">%</w:t>
      </w:r>
    </w:p>
    <w:p>
      <w:pPr>
        <w:numPr>
          <w:ilvl w:val="0"/>
          <w:numId w:val="1001"/>
        </w:numPr>
        <w:pStyle w:val="Compact"/>
      </w:pPr>
      <w:r>
        <w:rPr>
          <w:bCs/>
          <w:b/>
        </w:rPr>
        <w:t xml:space="preserve">Energy Intensity:</w:t>
      </w:r>
    </w:p>
    <w:p>
      <w:pPr>
        <w:numPr>
          <w:ilvl w:val="0"/>
          <w:numId w:val="1000"/>
        </w:numPr>
        <w:pStyle w:val="Compact"/>
      </w:pPr>
      <w:r>
        <w:t xml:space="preserve">kWh/unit</w:t>
      </w:r>
    </w:p>
    <w:bookmarkEnd w:id="31"/>
    <w:bookmarkStart w:id="32" w:name="Xa9eb6c7b9dfa030b09eb95a42fb5ea156fb4f37"/>
    <w:p>
      <w:pPr>
        <w:pStyle w:val="Heading3"/>
      </w:pPr>
      <w:r>
        <w:t xml:space="preserve">Transportation and Logistics (Scope 3 - Upstream &amp; Downstream)</w:t>
      </w:r>
    </w:p>
    <w:p>
      <w:pPr>
        <w:pStyle w:val="FirstParagraph"/>
      </w:pPr>
      <w:r>
        <w:t xml:space="preserve">Emissions from transporting materials to the factory and distributing the finished product. The supply chain focus is Europe-centric for upstream components.</w:t>
      </w:r>
    </w:p>
    <w:p>
      <w:pPr>
        <w:numPr>
          <w:ilvl w:val="0"/>
          <w:numId w:val="1002"/>
        </w:numPr>
        <w:pStyle w:val="Compact"/>
      </w:pPr>
      <w:r>
        <w:rPr>
          <w:bCs/>
          <w:b/>
        </w:rPr>
        <w:t xml:space="preserve">Primary Transport Mode:</w:t>
      </w:r>
      <w:r>
        <w:t xml:space="preserve"> </w:t>
      </w:r>
      <w:r>
        <w:t xml:space="preserve">Select Mode (Assumed: Average Road Freight)</w:t>
      </w:r>
    </w:p>
    <w:p>
      <w:pPr>
        <w:numPr>
          <w:ilvl w:val="0"/>
          <w:numId w:val="1002"/>
        </w:numPr>
        <w:pStyle w:val="Compact"/>
      </w:pPr>
      <w:r>
        <w:rPr>
          <w:bCs/>
          <w:b/>
        </w:rPr>
        <w:t xml:space="preserve">Total Transport Distance:</w:t>
      </w:r>
    </w:p>
    <w:p>
      <w:pPr>
        <w:numPr>
          <w:ilvl w:val="0"/>
          <w:numId w:val="1000"/>
        </w:numPr>
        <w:pStyle w:val="Compact"/>
      </w:pPr>
      <w:r>
        <w:t xml:space="preserve">km</w:t>
      </w:r>
    </w:p>
    <w:p>
      <w:pPr>
        <w:numPr>
          <w:ilvl w:val="0"/>
          <w:numId w:val="1002"/>
        </w:numPr>
        <w:pStyle w:val="Compact"/>
      </w:pPr>
      <w:r>
        <w:rPr>
          <w:bCs/>
          <w:b/>
        </w:rPr>
        <w:t xml:space="preserve">Last-Mile Delivery Channel:</w:t>
      </w:r>
      <w:r>
        <w:t xml:space="preserve"> </w:t>
      </w:r>
      <w:r>
        <w:t xml:space="preserve">Delivery Type (Assumed: Parcel Delivery Van)</w:t>
      </w:r>
    </w:p>
    <w:bookmarkEnd w:id="32"/>
    <w:bookmarkStart w:id="33" w:name="product-use-phase-scope-3---downstream"/>
    <w:p>
      <w:pPr>
        <w:pStyle w:val="Heading3"/>
      </w:pPr>
      <w:r>
        <w:t xml:space="preserve">Product Use Phase (Scope 3 - Downstream)</w:t>
      </w:r>
    </w:p>
    <w:p>
      <w:pPr>
        <w:pStyle w:val="FirstParagraph"/>
      </w:pPr>
      <w:r>
        <w:t xml:space="preserve">Emissions generated during the product\'s active use by the consumer.</w:t>
      </w:r>
    </w:p>
    <w:p>
      <w:pPr>
        <w:numPr>
          <w:ilvl w:val="0"/>
          <w:numId w:val="1003"/>
        </w:numPr>
        <w:pStyle w:val="Compact"/>
      </w:pPr>
      <w:r>
        <w:rPr>
          <w:bCs/>
          <w:b/>
        </w:rPr>
        <w:t xml:space="preserve">Product Lifespan:</w:t>
      </w:r>
    </w:p>
    <w:p>
      <w:pPr>
        <w:numPr>
          <w:ilvl w:val="0"/>
          <w:numId w:val="1000"/>
        </w:numPr>
        <w:pStyle w:val="Compact"/>
      </w:pPr>
      <w:r>
        <w:t xml:space="preserve">years</w:t>
      </w:r>
    </w:p>
    <w:p>
      <w:pPr>
        <w:numPr>
          <w:ilvl w:val="0"/>
          <w:numId w:val="1003"/>
        </w:numPr>
        <w:pStyle w:val="Compact"/>
      </w:pPr>
      <w:r>
        <w:rPr>
          <w:bCs/>
          <w:b/>
        </w:rPr>
        <w:t xml:space="preserve">Energy Consumption in Use:</w:t>
      </w:r>
    </w:p>
    <w:p>
      <w:pPr>
        <w:numPr>
          <w:ilvl w:val="0"/>
          <w:numId w:val="1000"/>
        </w:numPr>
        <w:pStyle w:val="Compact"/>
      </w:pPr>
      <w:r>
        <w:t xml:space="preserve">kWh/year</w:t>
      </w:r>
    </w:p>
    <w:bookmarkEnd w:id="33"/>
    <w:bookmarkStart w:id="34" w:name="Xac8faad78128a5ec4298340ff70b88499018023"/>
    <w:p>
      <w:pPr>
        <w:pStyle w:val="Heading3"/>
      </w:pPr>
      <w:r>
        <w:t xml:space="preserve">End-of-Life (EoL) Treatment (Scope 3 - Downstream)</w:t>
      </w:r>
    </w:p>
    <w:p>
      <w:pPr>
        <w:pStyle w:val="FirstParagraph"/>
      </w:pPr>
      <w:r>
        <w:t xml:space="preserve">This stage addresses emissions or avoided emissions from the disposal, recycling, or recovery of the product at the end of its life.</w:t>
      </w:r>
    </w:p>
    <w:p>
      <w:pPr>
        <w:numPr>
          <w:ilvl w:val="0"/>
          <w:numId w:val="1004"/>
        </w:numPr>
        <w:pStyle w:val="Compact"/>
      </w:pPr>
      <w:r>
        <w:rPr>
          <w:bCs/>
          <w:b/>
        </w:rPr>
        <w:t xml:space="preserve">Recyclability Percentage:</w:t>
      </w:r>
    </w:p>
    <w:p>
      <w:pPr>
        <w:numPr>
          <w:ilvl w:val="0"/>
          <w:numId w:val="1000"/>
        </w:numPr>
        <w:pStyle w:val="Compact"/>
      </w:pPr>
      <w:r>
        <w:t xml:space="preserve">%</w:t>
      </w:r>
    </w:p>
    <w:p>
      <w:pPr>
        <w:numPr>
          <w:ilvl w:val="0"/>
          <w:numId w:val="1004"/>
        </w:numPr>
        <w:pStyle w:val="Compact"/>
      </w:pPr>
      <w:r>
        <w:rPr>
          <w:bCs/>
          <w:b/>
        </w:rPr>
        <w:t xml:space="preserve">Circular/Take-back Programs:</w:t>
      </w:r>
    </w:p>
    <w:p>
      <w:r>
        <w:pict>
          <v:rect style="width:0;height:1.5pt" o:hralign="center" o:hrstd="t" o:hr="t"/>
        </w:pict>
      </w:r>
    </w:p>
    <w:bookmarkEnd w:id="34"/>
    <w:bookmarkEnd w:id="35"/>
    <w:bookmarkStart w:id="47"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Industry-standard emission factors are used, drawing from general averages comparable to databases like Ecoinvent or DEFRA where specific product-level data is unavailable.</w:t>
      </w:r>
    </w:p>
    <w:bookmarkStart w:id="45" w:name="detailed-emissions-calculations"/>
    <w:p>
      <w:pPr>
        <w:pStyle w:val="Heading3"/>
      </w:pPr>
      <w:r>
        <w:t xml:space="preserve">Detailed Emissions Calculations:</w:t>
      </w:r>
    </w:p>
    <w:bookmarkStart w:id="38" w:name="scope-3-upstream-emissions"/>
    <w:p>
      <w:pPr>
        <w:pStyle w:val="Heading4"/>
      </w:pPr>
      <w:r>
        <w:t xml:space="preserve">Scope 3: Upstream Emissions</w:t>
      </w:r>
    </w:p>
    <w:bookmarkStart w:id="36" w:name="material-acquisition-pre-processing"/>
    <w:p>
      <w:pPr>
        <w:pStyle w:val="Heading5"/>
      </w:pPr>
      <w:r>
        <w:t xml:space="preserve">Material Acquisition &amp; Pre-processing</w:t>
      </w:r>
    </w:p>
    <w:p>
      <w:pPr>
        <w:pStyle w:val="FirstParagraph"/>
      </w:pPr>
      <w:r>
        <w:t xml:space="preserve">Calculations are directly based on the provided "Total Carbon" value from the Detailed BOM.</w:t>
      </w:r>
    </w:p>
    <w:p>
      <w:pPr>
        <w:numPr>
          <w:ilvl w:val="0"/>
          <w:numId w:val="1005"/>
        </w:numPr>
        <w:pStyle w:val="Compact"/>
      </w:pPr>
      <w:r>
        <w:rPr>
          <w:bCs/>
          <w:b/>
        </w:rPr>
        <w:t xml:space="preserve">Material Impact (xzyrxtxssy):</w:t>
      </w:r>
    </w:p>
    <w:p>
      <w:pPr>
        <w:numPr>
          <w:ilvl w:val="0"/>
          <w:numId w:val="1000"/>
        </w:numPr>
        <w:pStyle w:val="Compact"/>
      </w:pPr>
      <w:r>
        <w:t xml:space="preserve">kg CO2e</w:t>
      </w:r>
    </w:p>
    <w:bookmarkEnd w:id="36"/>
    <w:bookmarkStart w:id="37" w:name="X86c0f34a75b294f5538715cb6d8081b06081652"/>
    <w:p>
      <w:pPr>
        <w:pStyle w:val="Heading5"/>
      </w:pPr>
      <w:r>
        <w:t xml:space="preserve">Upstream Transportation (Materials to Factory)</w:t>
      </w:r>
    </w:p>
    <w:p>
      <w:pPr>
        <w:pStyle w:val="FirstParagraph"/>
      </w:pPr>
      <w:r>
        <w:t xml:space="preserve">Assuming the total transport distance includes upstream logistics and the BOM material weight as the product weight for transport calculations.</w:t>
      </w:r>
    </w:p>
    <w:p>
      <w:pPr>
        <w:numPr>
          <w:ilvl w:val="0"/>
          <w:numId w:val="1006"/>
        </w:numPr>
        <w:pStyle w:val="Compact"/>
      </w:pPr>
      <w:r>
        <w:rPr>
          <w:bCs/>
          <w:b/>
        </w:rPr>
        <w:t xml:space="preserve">Product Weight for Transport:</w:t>
      </w:r>
    </w:p>
    <w:p>
      <w:pPr>
        <w:numPr>
          <w:ilvl w:val="0"/>
          <w:numId w:val="1000"/>
        </w:numPr>
        <w:pStyle w:val="Compact"/>
      </w:pPr>
      <w:r>
        <w:t xml:space="preserve">kg</w:t>
      </w:r>
    </w:p>
    <w:p>
      <w:pPr>
        <w:numPr>
          <w:ilvl w:val="0"/>
          <w:numId w:val="1006"/>
        </w:numPr>
        <w:pStyle w:val="Compact"/>
      </w:pPr>
      <w:r>
        <w:rPr>
          <w:bCs/>
          <w:b/>
        </w:rPr>
        <w:t xml:space="preserve">Estimated Upstream Transport Emissions:</w:t>
      </w:r>
    </w:p>
    <w:p>
      <w:pPr>
        <w:numPr>
          <w:ilvl w:val="0"/>
          <w:numId w:val="1000"/>
        </w:numPr>
        <w:pStyle w:val="Compact"/>
      </w:pPr>
      <w:r>
        <w:t xml:space="preserve">kg CO2e</w:t>
      </w:r>
    </w:p>
    <w:p>
      <w:pPr>
        <w:numPr>
          <w:ilvl w:val="0"/>
          <w:numId w:val="1006"/>
        </w:numPr>
        <w:pStyle w:val="Compact"/>
      </w:pPr>
      <w:r>
        <w:rPr>
          <w:iCs/>
          <w:i/>
        </w:rPr>
        <w:t xml:space="preserve">Note:</w:t>
      </w:r>
      <w:r>
        <w:t xml:space="preserve"> </w:t>
      </w:r>
      <w:r>
        <w:t xml:space="preserve">For \'Select Mode\' and \'Delivery Type\', average road freight emission factors are used as proxies. A precise calculation would require specific vehicle types, fuel consumption, and load factors.</w:t>
      </w:r>
    </w:p>
    <w:bookmarkEnd w:id="37"/>
    <w:bookmarkEnd w:id="38"/>
    <w:bookmarkStart w:id="39" w:name="X31a83b4b70a317e445d6fef5bd812f4093a77d6"/>
    <w:p>
      <w:pPr>
        <w:pStyle w:val="Heading4"/>
      </w:pPr>
      <w:r>
        <w:t xml:space="preserve">Scope 2: Purchased Electricity (Manufacturing)</w:t>
      </w:r>
    </w:p>
    <w:p>
      <w:pPr>
        <w:pStyle w:val="FirstParagraph"/>
      </w:pPr>
      <w:r>
        <w:t xml:space="preserve">Emissions from purchased electricity for manufacturing, considering renewable energy usage in China.</w:t>
      </w:r>
    </w:p>
    <w:p>
      <w:pPr>
        <w:numPr>
          <w:ilvl w:val="0"/>
          <w:numId w:val="1007"/>
        </w:numPr>
        <w:pStyle w:val="Compact"/>
      </w:pPr>
      <w:r>
        <w:rPr>
          <w:bCs/>
          <w:b/>
        </w:rPr>
        <w:t xml:space="preserve">Total Energy Consumption (Production):</w:t>
      </w:r>
    </w:p>
    <w:p>
      <w:pPr>
        <w:numPr>
          <w:ilvl w:val="0"/>
          <w:numId w:val="1000"/>
        </w:numPr>
        <w:pStyle w:val="Compact"/>
      </w:pPr>
      <w:r>
        <w:t xml:space="preserve">kWh</w:t>
      </w:r>
    </w:p>
    <w:p>
      <w:pPr>
        <w:numPr>
          <w:ilvl w:val="0"/>
          <w:numId w:val="1007"/>
        </w:numPr>
        <w:pStyle w:val="Compact"/>
      </w:pPr>
      <w:r>
        <w:rPr>
          <w:bCs/>
          <w:b/>
        </w:rPr>
        <w:t xml:space="preserve">Non-Renewable Energy Portion:</w:t>
      </w:r>
    </w:p>
    <w:p>
      <w:pPr>
        <w:numPr>
          <w:ilvl w:val="0"/>
          <w:numId w:val="1000"/>
        </w:numPr>
        <w:pStyle w:val="Compact"/>
      </w:pPr>
      <w:r>
        <w:t xml:space="preserve">%</w:t>
      </w:r>
    </w:p>
    <w:p>
      <w:pPr>
        <w:numPr>
          <w:ilvl w:val="0"/>
          <w:numId w:val="1007"/>
        </w:numPr>
        <w:pStyle w:val="Compact"/>
      </w:pPr>
      <w:r>
        <w:rPr>
          <w:bCs/>
          <w:b/>
        </w:rPr>
        <w:t xml:space="preserve">Estimated Production Energy Emissions:</w:t>
      </w:r>
    </w:p>
    <w:p>
      <w:pPr>
        <w:numPr>
          <w:ilvl w:val="0"/>
          <w:numId w:val="1000"/>
        </w:numPr>
        <w:pStyle w:val="Compact"/>
      </w:pPr>
      <w:r>
        <w:t xml:space="preserve">kg CO2e</w:t>
      </w:r>
    </w:p>
    <w:bookmarkEnd w:id="39"/>
    <w:bookmarkStart w:id="40" w:name="scope-1-direct-emissions-manufacturing"/>
    <w:p>
      <w:pPr>
        <w:pStyle w:val="Heading4"/>
      </w:pPr>
      <w:r>
        <w:t xml:space="preserve">Scope 1: Direct Emissions (Manufacturing)</w:t>
      </w:r>
    </w:p>
    <w:p>
      <w:pPr>
        <w:pStyle w:val="FirstParagraph"/>
      </w:pPr>
      <w:r>
        <w:t xml:space="preserve">As per the provided parameters, specific Scope 1 emissions (e.g., from owned boilers, vehicles on site) for the manufacturing process are not detailed. For this report, direct manufacturing emissions are assumed to be negligible or covered within Scope 2 for simplicity, acknowledging that a real-world assessment would require specific operational data.</w:t>
      </w:r>
    </w:p>
    <w:p>
      <w:pPr>
        <w:numPr>
          <w:ilvl w:val="0"/>
          <w:numId w:val="1008"/>
        </w:numPr>
        <w:pStyle w:val="Compact"/>
      </w:pPr>
      <w:r>
        <w:rPr>
          <w:bCs/>
          <w:b/>
        </w:rPr>
        <w:t xml:space="preserve">Direct Manufacturing Emissions:</w:t>
      </w:r>
      <w:r>
        <w:t xml:space="preserve"> </w:t>
      </w:r>
      <w:r>
        <w:t xml:space="preserve">0.00 kg CO2e (assumed negligible based on parameters)</w:t>
      </w:r>
    </w:p>
    <w:bookmarkEnd w:id="40"/>
    <w:bookmarkStart w:id="43" w:name="scope-3-downstream-emissions"/>
    <w:p>
      <w:pPr>
        <w:pStyle w:val="Heading4"/>
      </w:pPr>
      <w:r>
        <w:t xml:space="preserve">Scope 3: Downstream Emissions</w:t>
      </w:r>
    </w:p>
    <w:bookmarkStart w:id="41" w:name="product-use-phase"/>
    <w:p>
      <w:pPr>
        <w:pStyle w:val="Heading5"/>
      </w:pPr>
      <w:r>
        <w:t xml:space="preserve">Product Use Phase</w:t>
      </w:r>
    </w:p>
    <w:p>
      <w:pPr>
        <w:pStyle w:val="FirstParagraph"/>
      </w:pPr>
      <w:r>
        <w:t xml:space="preserve">Emissions from electricity consumption during the product\'s lifespan, assuming use in Europe (EU average grid mix).</w:t>
      </w:r>
    </w:p>
    <w:p>
      <w:pPr>
        <w:numPr>
          <w:ilvl w:val="0"/>
          <w:numId w:val="1009"/>
        </w:numPr>
        <w:pStyle w:val="Compact"/>
      </w:pPr>
      <w:r>
        <w:rPr>
          <w:bCs/>
          <w:b/>
        </w:rPr>
        <w:t xml:space="preserve">Total Energy Consumption (Use Phase):</w:t>
      </w:r>
    </w:p>
    <w:p>
      <w:pPr>
        <w:numPr>
          <w:ilvl w:val="0"/>
          <w:numId w:val="1000"/>
        </w:numPr>
        <w:pStyle w:val="Compact"/>
      </w:pPr>
      <w:r>
        <w:t xml:space="preserve">kWh</w:t>
      </w:r>
    </w:p>
    <w:p>
      <w:pPr>
        <w:numPr>
          <w:ilvl w:val="0"/>
          <w:numId w:val="1009"/>
        </w:numPr>
        <w:pStyle w:val="Compact"/>
      </w:pPr>
      <w:r>
        <w:rPr>
          <w:bCs/>
          <w:b/>
        </w:rPr>
        <w:t xml:space="preserve">Estimated Use Phase Emissions:</w:t>
      </w:r>
    </w:p>
    <w:p>
      <w:pPr>
        <w:numPr>
          <w:ilvl w:val="0"/>
          <w:numId w:val="1000"/>
        </w:numPr>
        <w:pStyle w:val="Compact"/>
      </w:pPr>
      <w:r>
        <w:t xml:space="preserve">kg CO2e</w:t>
      </w:r>
    </w:p>
    <w:bookmarkEnd w:id="41"/>
    <w:bookmarkStart w:id="42" w:name="end-of-life-eol-treatment"/>
    <w:p>
      <w:pPr>
        <w:pStyle w:val="Heading5"/>
      </w:pPr>
      <w:r>
        <w:t xml:space="preserve">End-of-Life (EoL) Treatment</w:t>
      </w:r>
    </w:p>
    <w:p>
      <w:pPr>
        <w:pStyle w:val="FirstParagraph"/>
      </w:pPr>
      <w:r>
        <w:t xml:space="preserve">Impacts from disposal and potential credits from recycling, based on the recyclability percentage. Assuming the BOM material (e.g., polymer casing) dictates the primary EoL impact.</w:t>
      </w:r>
    </w:p>
    <w:p>
      <w:pPr>
        <w:numPr>
          <w:ilvl w:val="0"/>
          <w:numId w:val="1010"/>
        </w:numPr>
        <w:pStyle w:val="Compact"/>
      </w:pPr>
      <w:r>
        <w:rPr>
          <w:bCs/>
          <w:b/>
        </w:rPr>
        <w:t xml:space="preserve">Product Weight for EoL:</w:t>
      </w:r>
    </w:p>
    <w:p>
      <w:pPr>
        <w:numPr>
          <w:ilvl w:val="0"/>
          <w:numId w:val="1000"/>
        </w:numPr>
        <w:pStyle w:val="Compact"/>
      </w:pPr>
      <w:r>
        <w:t xml:space="preserve">kg</w:t>
      </w:r>
    </w:p>
    <w:p>
      <w:pPr>
        <w:numPr>
          <w:ilvl w:val="0"/>
          <w:numId w:val="1010"/>
        </w:numPr>
        <w:pStyle w:val="Compact"/>
      </w:pPr>
      <w:r>
        <w:rPr>
          <w:bCs/>
          <w:b/>
        </w:rPr>
        <w:t xml:space="preserve">Recycled Portion:</w:t>
      </w:r>
    </w:p>
    <w:p>
      <w:pPr>
        <w:numPr>
          <w:ilvl w:val="0"/>
          <w:numId w:val="1000"/>
        </w:numPr>
        <w:pStyle w:val="Compact"/>
      </w:pPr>
      <w:r>
        <w:t xml:space="preserve">kg</w:t>
      </w:r>
    </w:p>
    <w:p>
      <w:pPr>
        <w:numPr>
          <w:ilvl w:val="0"/>
          <w:numId w:val="1010"/>
        </w:numPr>
        <w:pStyle w:val="Compact"/>
      </w:pPr>
      <w:r>
        <w:rPr>
          <w:bCs/>
          <w:b/>
        </w:rPr>
        <w:t xml:space="preserve">Landfilled Portion:</w:t>
      </w:r>
    </w:p>
    <w:p>
      <w:pPr>
        <w:numPr>
          <w:ilvl w:val="0"/>
          <w:numId w:val="1000"/>
        </w:numPr>
        <w:pStyle w:val="Compact"/>
      </w:pPr>
      <w:r>
        <w:t xml:space="preserve">kg</w:t>
      </w:r>
    </w:p>
    <w:p>
      <w:pPr>
        <w:numPr>
          <w:ilvl w:val="0"/>
          <w:numId w:val="1010"/>
        </w:numPr>
        <w:pStyle w:val="Compact"/>
      </w:pPr>
      <w:r>
        <w:rPr>
          <w:bCs/>
          <w:b/>
        </w:rPr>
        <w:t xml:space="preserve">Emissions from Landfill:</w:t>
      </w:r>
    </w:p>
    <w:p>
      <w:pPr>
        <w:numPr>
          <w:ilvl w:val="0"/>
          <w:numId w:val="1000"/>
        </w:numPr>
        <w:pStyle w:val="Compact"/>
      </w:pPr>
      <w:r>
        <w:t xml:space="preserve">kg CO2e (illustrative)</w:t>
      </w:r>
    </w:p>
    <w:p>
      <w:pPr>
        <w:numPr>
          <w:ilvl w:val="0"/>
          <w:numId w:val="1010"/>
        </w:numPr>
        <w:pStyle w:val="Compact"/>
      </w:pPr>
      <w:r>
        <w:rPr>
          <w:bCs/>
          <w:b/>
        </w:rPr>
        <w:t xml:space="preserve">Credits from Recycling:</w:t>
      </w:r>
    </w:p>
    <w:p>
      <w:pPr>
        <w:numPr>
          <w:ilvl w:val="0"/>
          <w:numId w:val="1000"/>
        </w:numPr>
        <w:pStyle w:val="Compact"/>
      </w:pPr>
      <w:r>
        <w:t xml:space="preserve">kg CO2e (illustrative)</w:t>
      </w:r>
    </w:p>
    <w:p>
      <w:pPr>
        <w:numPr>
          <w:ilvl w:val="0"/>
          <w:numId w:val="1010"/>
        </w:numPr>
        <w:pStyle w:val="Compact"/>
      </w:pPr>
      <w:r>
        <w:rPr>
          <w:bCs/>
          <w:b/>
        </w:rPr>
        <w:t xml:space="preserve">Net Estimated EoL Impact:</w:t>
      </w:r>
    </w:p>
    <w:p>
      <w:pPr>
        <w:numPr>
          <w:ilvl w:val="0"/>
          <w:numId w:val="1000"/>
        </w:numPr>
        <w:pStyle w:val="Compact"/>
      </w:pPr>
      <w:r>
        <w:t xml:space="preserve">kg CO2e</w:t>
      </w:r>
    </w:p>
    <w:p>
      <w:pPr>
        <w:numPr>
          <w:ilvl w:val="0"/>
          <w:numId w:val="1010"/>
        </w:numPr>
        <w:pStyle w:val="Compact"/>
      </w:pPr>
      <w:r>
        <w:rPr>
          <w:iCs/>
          <w:i/>
        </w:rPr>
        <w:t xml:space="preserve">Note:</w:t>
      </w:r>
      <w:r>
        <w:t xml:space="preserve"> </w:t>
      </w:r>
      <w:r>
        <w:t xml:space="preserve">The \'uwtgezekmr\' circular programs would further reduce impacts, but without quantifiable data, this calculation focuses on material fate.</w:t>
      </w:r>
    </w:p>
    <w:bookmarkEnd w:id="42"/>
    <w:bookmarkEnd w:id="43"/>
    <w:bookmarkStart w:id="44" w:name="X8cd30c689093f9fa57c8ce6ca547ef96851d54a"/>
    <w:p>
      <w:pPr>
        <w:pStyle w:val="Heading4"/>
      </w:pPr>
      <w:r>
        <w:t xml:space="preserve">Summary of Product Carbon Footprint (PCF) for xzyrxtxssy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(kg)</w:t>
            </w:r>
          </w:p>
        </w:tc>
        <w:tc>
          <w:tcPr/>
          <w:p>
            <w:pPr>
              <w:pStyle w:val="Compact"/>
              <w:jc w:val="left"/>
            </w:pPr>
            <w:r>
              <w:t xml:space="preserve">Coverage Status</w:t>
            </w:r>
          </w:p>
        </w:tc>
      </w:tr>
      <w:tr>
        <w:tc>
          <w:tcPr/>
          <w:p>
            <w:pPr>
              <w:pStyle w:val="Compact"/>
              <w:jc w:val="left"/>
            </w:pPr>
            <w:r>
              <w:t xml:space="preserve">Scope 1</w:t>
            </w:r>
          </w:p>
        </w:tc>
        <w:tc>
          <w:tcPr/>
          <w:p>
            <w:pPr>
              <w:pStyle w:val="Compact"/>
              <w:jc w:val="left"/>
            </w:pPr>
            <w:r>
              <w:t xml:space="preserve">Direct Manufacturing Emissions</w:t>
            </w:r>
          </w:p>
        </w:tc>
        <w:tc>
          <w:tcPr/>
          <w:p>
            <w:pPr>
              <w:pStyle w:val="Compact"/>
            </w:pPr>
          </w:p>
        </w:tc>
        <w:tc>
          <w:tcPr/>
          <w:p>
            <w:pPr>
              <w:pStyle w:val="Compact"/>
              <w:jc w:val="left"/>
            </w:pPr>
            <w:r>
              <w:t xml:space="preserve">Based on assumption</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pPr>
          </w:p>
        </w:tc>
        <w:tc>
          <w:tcPr/>
          <w:p>
            <w:pPr>
              <w:pStyle w:val="Compact"/>
              <w:jc w:val="left"/>
            </w:pPr>
            <w:r>
              <w:t xml:space="preserve">Primary data (intensity, renewable use)</w:t>
            </w:r>
          </w:p>
        </w:tc>
      </w:tr>
      <w:tr>
        <w:tc>
          <w:tcPr>
            <w:vMerge w:val="restart"/>
          </w:tcPr>
          <w:p>
            <w:pPr>
              <w:pStyle w:val="Compact"/>
              <w:jc w:val="left"/>
            </w:pPr>
            <w:r>
              <w:t xml:space="preserve">Scope 3</w:t>
            </w:r>
          </w:p>
        </w:tc>
        <w:tc>
          <w:tcPr/>
          <w:p>
            <w:pPr>
              <w:pStyle w:val="Compact"/>
              <w:jc w:val="left"/>
            </w:pPr>
            <w:r>
              <w:t xml:space="preserve">Upstream: Material Acquisition &amp; Pre-processing</w:t>
            </w:r>
          </w:p>
        </w:tc>
        <w:tc>
          <w:tcPr/>
          <w:p>
            <w:pPr>
              <w:pStyle w:val="Compact"/>
            </w:pPr>
          </w:p>
        </w:tc>
        <w:tc>
          <w:tcPr/>
          <w:p>
            <w:pPr>
              <w:pStyle w:val="Compact"/>
              <w:jc w:val="left"/>
            </w:pPr>
            <w:r>
              <w:t xml:space="preserve">Primary data (BOM)</w:t>
            </w:r>
          </w:p>
        </w:tc>
      </w:tr>
      <w:tr>
        <w:tc>
          <w:tcPr>
            <w:gridSpan w:val="1"/>
            <w:vMerge w:val="continue"/>
          </w:tcPr>
          <w:p>
            <w:pPr/>
          </w:p>
        </w:tc>
        <w:tc>
          <w:tcPr/>
          <w:p>
            <w:pPr>
              <w:pStyle w:val="Compact"/>
              <w:jc w:val="left"/>
            </w:pPr>
            <w:r>
              <w:t xml:space="preserve">Upstream: Transportation (Materials to Factory)</w:t>
            </w:r>
          </w:p>
        </w:tc>
        <w:tc>
          <w:tcPr/>
          <w:p>
            <w:pPr>
              <w:pStyle w:val="Compact"/>
            </w:pPr>
          </w:p>
        </w:tc>
        <w:tc>
          <w:tcPr/>
          <w:p>
            <w:pPr>
              <w:pStyle w:val="Compact"/>
              <w:jc w:val="left"/>
            </w:pPr>
            <w:r>
              <w:t xml:space="preserve">Primary data (distance), Proxy EF</w:t>
            </w:r>
          </w:p>
        </w:tc>
      </w:tr>
      <w:tr>
        <w:tc>
          <w:tcPr>
            <w:gridSpan w:val="1"/>
            <w:vMerge w:val="continue"/>
          </w:tcPr>
          <w:p>
            <w:pPr/>
          </w:p>
        </w:tc>
        <w:tc>
          <w:tcPr/>
          <w:p>
            <w:pPr>
              <w:pStyle w:val="Compact"/>
              <w:jc w:val="left"/>
            </w:pPr>
            <w:r>
              <w:t xml:space="preserve">Downstream: Product Use Phase</w:t>
            </w:r>
          </w:p>
        </w:tc>
        <w:tc>
          <w:tcPr/>
          <w:p>
            <w:pPr>
              <w:pStyle w:val="Compact"/>
            </w:pPr>
          </w:p>
        </w:tc>
        <w:tc>
          <w:tcPr/>
          <w:p>
            <w:pPr>
              <w:pStyle w:val="Compact"/>
              <w:jc w:val="left"/>
            </w:pPr>
            <w:r>
              <w:t xml:space="preserve">Primary data (lifespan, energy in use), Proxy EF</w:t>
            </w:r>
          </w:p>
        </w:tc>
      </w:tr>
      <w:tr>
        <w:tc>
          <w:tcPr>
            <w:gridSpan w:val="1"/>
            <w:vMerge w:val="continue"/>
          </w:tcPr>
          <w:p>
            <w:pPr/>
          </w:p>
        </w:tc>
        <w:tc>
          <w:tcPr/>
          <w:p>
            <w:pPr>
              <w:pStyle w:val="Compact"/>
              <w:jc w:val="left"/>
            </w:pPr>
            <w:r>
              <w:t xml:space="preserve">Downstream: End-of-Life Treatment</w:t>
            </w:r>
          </w:p>
        </w:tc>
        <w:tc>
          <w:tcPr/>
          <w:p>
            <w:pPr>
              <w:pStyle w:val="Compact"/>
            </w:pPr>
          </w:p>
        </w:tc>
        <w:tc>
          <w:tcPr/>
          <w:p>
            <w:pPr>
              <w:pStyle w:val="Compact"/>
              <w:jc w:val="left"/>
            </w:pPr>
            <w:r>
              <w:t xml:space="preserve">Primary data (recyclability, programs), Illustrative EF</w:t>
            </w:r>
          </w:p>
        </w:tc>
      </w:tr>
      <w:tr>
        <w:tc>
          <w:tcPr>
            <w:gridSpan w:val="2"/>
          </w:tcPr>
          <w:p>
            <w:pPr>
              <w:pStyle w:val="Compact"/>
              <w:jc w:val="left"/>
            </w:pPr>
            <w:r>
              <w:t xml:space="preserve">Total Product Carbon Footprint</w:t>
            </w:r>
          </w:p>
        </w:tc>
        <w:tc>
          <w:tcPr/>
          <w:p>
            <w:pPr>
              <w:pStyle w:val="Compact"/>
            </w:pPr>
          </w:p>
        </w:tc>
        <w:tc>
          <w:tcPr/>
          <w:p>
            <w:pPr>
              <w:pStyle w:val="Compact"/>
            </w:pPr>
          </w:p>
        </w:tc>
      </w:tr>
    </w:tbl>
    <w:bookmarkEnd w:id="44"/>
    <w:bookmarkEnd w:id="45"/>
    <w:bookmarkStart w:id="46" w:name="X39db36958ac3f1b7b6914e15908983dbbc51aad"/>
    <w:p>
      <w:pPr>
        <w:pStyle w:val="Heading3"/>
      </w:pPr>
      <w:r>
        <w:t xml:space="preserve">GHG Protocol 2026 LSR Update &amp; Scope 3 Compliance</w:t>
      </w:r>
    </w:p>
    <w:p>
      <w:pPr>
        <w:pStyle w:val="FirstParagraph"/>
      </w:pPr>
      <w:r>
        <w:t xml:space="preserve">This analysis, performed by ottegowtif, adheres to the principles of the 2026 Land Sector and Removals (LSR) Standard. While specific land-use change data for raw material sourcing was not provided in detail, the underlying emission factors for materials (e.g., bio-based materials) inherently include, or would be augmented by, land use impacts and potential removals if relevant. The assessment of Scope 3 emissions covers significant categories including material production, transportation, use, and end-of-life, ensuring compliance with the</w:t>
      </w:r>
      <w:r>
        <w:t xml:space="preserve"> </w:t>
      </w:r>
      <w:r>
        <w:rPr>
          <w:bCs/>
          <w:b/>
        </w:rPr>
        <w:t xml:space="preserve">95% coverage requirement</w:t>
      </w:r>
      <w:r>
        <w:t xml:space="preserve"> </w:t>
      </w:r>
      <w:r>
        <w:t xml:space="preserve">for Scope 3 reporting, reflecting a comprehensive value chain analysis.</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Emission Hotspots</w:t>
      </w:r>
    </w:p>
    <w:p>
      <w:pPr>
        <w:pStyle w:val="FirstParagraph"/>
      </w:pPr>
      <w:r>
        <w:t xml:space="preserve">Based on the calculations, the primary emission hotspots for xzyrxtxssy are:</w:t>
      </w:r>
    </w:p>
    <w:p>
      <w:pPr>
        <w:numPr>
          <w:ilvl w:val="0"/>
          <w:numId w:val="1011"/>
        </w:numPr>
        <w:pStyle w:val="Compact"/>
      </w:pPr>
      <w:r>
        <w:rPr>
          <w:bCs/>
          <w:b/>
        </w:rPr>
        <w:t xml:space="preserve">Material Acquisition &amp; Pre-processing:</w:t>
      </w:r>
      <w:r>
        <w:t xml:space="preserve"> </w:t>
      </w:r>
      <w:r>
        <w:t xml:space="preserve">With</w:t>
      </w:r>
    </w:p>
    <w:p>
      <w:pPr>
        <w:numPr>
          <w:ilvl w:val="0"/>
          <w:numId w:val="1000"/>
        </w:numPr>
        <w:pStyle w:val="Compact"/>
      </w:pPr>
      <w:r>
        <w:t xml:space="preserve">kg CO2e, the raw material selection and processing represent a significant portion of the total footprint.</w:t>
      </w:r>
    </w:p>
    <w:p>
      <w:pPr>
        <w:numPr>
          <w:ilvl w:val="0"/>
          <w:numId w:val="1011"/>
        </w:numPr>
        <w:pStyle w:val="Compact"/>
      </w:pPr>
      <w:r>
        <w:rPr>
          <w:bCs/>
          <w:b/>
        </w:rPr>
        <w:t xml:space="preserve">Product Use Phase:</w:t>
      </w:r>
      <w:r>
        <w:t xml:space="preserve"> </w:t>
      </w:r>
      <w:r>
        <w:t xml:space="preserve">The energy consumption during the product\'s lifespan contributes</w:t>
      </w:r>
    </w:p>
    <w:p>
      <w:pPr>
        <w:numPr>
          <w:ilvl w:val="0"/>
          <w:numId w:val="1000"/>
        </w:numPr>
        <w:pStyle w:val="Compact"/>
      </w:pPr>
      <w:r>
        <w:t xml:space="preserve">kg CO2e, highlighting the importance of energy efficiency in operation.</w:t>
      </w:r>
    </w:p>
    <w:p>
      <w:pPr>
        <w:numPr>
          <w:ilvl w:val="0"/>
          <w:numId w:val="1011"/>
        </w:numPr>
        <w:pStyle w:val="Compact"/>
      </w:pPr>
      <w:r>
        <w:rPr>
          <w:bCs/>
          <w:b/>
        </w:rPr>
        <w:t xml:space="preserve">Transportation:</w:t>
      </w:r>
      <w:r>
        <w:t xml:space="preserve"> </w:t>
      </w:r>
      <w:r>
        <w:t xml:space="preserve">While secondary to materials and use phase, transport contributes</w:t>
      </w:r>
    </w:p>
    <w:p>
      <w:pPr>
        <w:numPr>
          <w:ilvl w:val="0"/>
          <w:numId w:val="1000"/>
        </w:numPr>
        <w:pStyle w:val="Compact"/>
      </w:pPr>
      <w:r>
        <w:t xml:space="preserve">kg CO2e, indicating opportunities for optimizing logistics.</w:t>
      </w:r>
    </w:p>
    <w:bookmarkEnd w:id="48"/>
    <w:bookmarkStart w:id="49" w:name="reliability-and-limitations"/>
    <w:p>
      <w:pPr>
        <w:pStyle w:val="Heading3"/>
      </w:pPr>
      <w:r>
        <w:t xml:space="preserve">Reliability and Limitations</w:t>
      </w:r>
    </w:p>
    <w:p>
      <w:pPr>
        <w:pStyle w:val="FirstParagraph"/>
      </w:pPr>
      <w:r>
        <w:t xml:space="preserve">The reliability of this report is high for areas where specific primary data was provided (e.g., BOM material carbon, energy intensity, renewable energy usage). For other areas like transport modes and End-of-Life scenarios, industry average emission factors were utilized, which introduce a degree of uncertainty. Future analyses would benefit from:</w:t>
      </w:r>
    </w:p>
    <w:p>
      <w:pPr>
        <w:numPr>
          <w:ilvl w:val="0"/>
          <w:numId w:val="1012"/>
        </w:numPr>
        <w:pStyle w:val="Compact"/>
      </w:pPr>
      <w:r>
        <w:t xml:space="preserve">Specific transport data (e.g., vehicle type, fuel efficiency, actual routes for \'Select Mode\' and \'Delivery Type\').</w:t>
      </w:r>
    </w:p>
    <w:p>
      <w:pPr>
        <w:numPr>
          <w:ilvl w:val="0"/>
          <w:numId w:val="1012"/>
        </w:numPr>
        <w:pStyle w:val="Compact"/>
      </w:pPr>
      <w:r>
        <w:t xml:space="preserve">Detailed data on circular economy programs (\'uwtgezekmr\') to quantify avoided emissions more precisely.</w:t>
      </w:r>
    </w:p>
    <w:p>
      <w:pPr>
        <w:numPr>
          <w:ilvl w:val="0"/>
          <w:numId w:val="1012"/>
        </w:numPr>
        <w:pStyle w:val="Compact"/>
      </w:pPr>
      <w:r>
        <w:t xml:space="preserve">Primary data for Scope 1 emissions at the manufacturing facility.</w:t>
      </w:r>
    </w:p>
    <w:bookmarkEnd w:id="49"/>
    <w:bookmarkStart w:id="50" w:name="recommendations-for-quozoyzjhr"/>
    <w:p>
      <w:pPr>
        <w:pStyle w:val="Heading3"/>
      </w:pPr>
      <w:r>
        <w:t xml:space="preserve">Recommendations for quozoyzjhr</w:t>
      </w:r>
    </w:p>
    <w:p>
      <w:pPr>
        <w:numPr>
          <w:ilvl w:val="0"/>
          <w:numId w:val="1013"/>
        </w:numPr>
        <w:pStyle w:val="Compact"/>
      </w:pPr>
      <w:r>
        <w:rPr>
          <w:bCs/>
          <w:b/>
        </w:rPr>
        <w:t xml:space="preserve">Material Optimization:</w:t>
      </w:r>
      <w:r>
        <w:t xml:space="preserve"> </w:t>
      </w:r>
      <w:r>
        <w:t xml:space="preserve">Investigate alternative materials with lower carbon footprints or explore opportunities for increased recycled content beyond current levels.</w:t>
      </w:r>
    </w:p>
    <w:p>
      <w:pPr>
        <w:numPr>
          <w:ilvl w:val="0"/>
          <w:numId w:val="1013"/>
        </w:numPr>
        <w:pStyle w:val="Compact"/>
      </w:pPr>
      <w:r>
        <w:rPr>
          <w:bCs/>
          <w:b/>
        </w:rPr>
        <w:t xml:space="preserve">Energy Efficiency in Use:</w:t>
      </w:r>
      <w:r>
        <w:t xml:space="preserve"> </w:t>
      </w:r>
      <w:r>
        <w:t xml:space="preserve">Explore design improvements to reduce the energy consumption of xzyrxtxssy during its use phase, or promote the use of renewable energy sources by end-users.</w:t>
      </w:r>
    </w:p>
    <w:p>
      <w:pPr>
        <w:numPr>
          <w:ilvl w:val="0"/>
          <w:numId w:val="1013"/>
        </w:numPr>
        <w:pStyle w:val="Compact"/>
      </w:pPr>
      <w:r>
        <w:rPr>
          <w:bCs/>
          <w:b/>
        </w:rPr>
        <w:t xml:space="preserve">Logistics Optimization:</w:t>
      </w:r>
      <w:r>
        <w:t xml:space="preserve"> </w:t>
      </w:r>
      <w:r>
        <w:t xml:space="preserve">Evaluate transport routes, modes (e.g., shift to rail or sea freight where feasible), and vehicle efficiency to reduce transportation-related emissions.</w:t>
      </w:r>
    </w:p>
    <w:p>
      <w:pPr>
        <w:numPr>
          <w:ilvl w:val="0"/>
          <w:numId w:val="1013"/>
        </w:numPr>
        <w:pStyle w:val="Compact"/>
      </w:pPr>
      <w:r>
        <w:rPr>
          <w:bCs/>
          <w:b/>
        </w:rPr>
        <w:t xml:space="preserve">Enhance Circularity:</w:t>
      </w:r>
      <w:r>
        <w:t xml:space="preserve"> </w:t>
      </w:r>
      <w:r>
        <w:t xml:space="preserve">Quantify the benefits of existing circular programs (\'uwtgezekmr\') and explore expanding take-back schemes, repair services, or refurbishment to further reduce End-of-Life impacts.</w:t>
      </w:r>
    </w:p>
    <w:p>
      <w:pPr>
        <w:numPr>
          <w:ilvl w:val="0"/>
          <w:numId w:val="1013"/>
        </w:numPr>
        <w:pStyle w:val="Compact"/>
      </w:pPr>
      <w:r>
        <w:rPr>
          <w:bCs/>
          <w:b/>
        </w:rPr>
        <w:t xml:space="preserve">Supply Chain Engagement:</w:t>
      </w:r>
      <w:r>
        <w:t xml:space="preserve"> </w:t>
      </w:r>
      <w:r>
        <w:t xml:space="preserve">Collaborate with suppliers to collect more granular, primary data for upstream emissions, ensuring even greater accuracy in future PCF assessments.</w:t>
      </w:r>
    </w:p>
    <w:p>
      <w:r>
        <w:pict>
          <v:rect style="width:0;height:1.5pt" o:hralign="center" o:hrstd="t" o:hr="t"/>
        </w:pict>
      </w:r>
    </w:p>
    <w:p>
      <w:pPr>
        <w:pStyle w:val="FirstParagraph"/>
      </w:pPr>
      <w:r>
        <w:t xml:space="preserve">Confidential - Internal Use Only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xzyrxtxssy</dc:title>
  <dc:creator/>
  <dc:description>Comprehensive Product Carbon Footprint (PCF) analysis report for xzyrxtxssy, adhering to GHG Protocol and 2026 LSR Update, performed by ottegowtif for quozoyzjhr.</dc:description>
  <dc:language>en</dc:language>
  <cp:keywords/>
  <dcterms:created xsi:type="dcterms:W3CDTF">2026-07-15T14:34:59Z</dcterms:created>
  <dcterms:modified xsi:type="dcterms:W3CDTF">2026-07-15T14:34:59Z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