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xyvxdkmmhf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xyvxdkmmhf</w:t>
      </w:r>
    </w:p>
    <w:p>
      <w:pPr>
        <w:pStyle w:val="BodyText"/>
      </w:pPr>
      <w:r>
        <w:t xml:space="preserve">Company: plpovrwzor</w:t>
      </w:r>
    </w:p>
    <w:p>
      <w:pPr>
        <w:pStyle w:val="BodyText"/>
      </w:pPr>
      <w:r>
        <w:t xml:space="preserve">Protocol Data (Accounting Standard): GHG Protocol</w:t>
      </w:r>
    </w:p>
    <w:p>
      <w:pPr>
        <w:pStyle w:val="BodyText"/>
      </w:pPr>
      <w:r>
        <w:t xml:space="preserve">Senior Sustainability Consultant: jnxdxgldzd</w:t>
      </w:r>
    </w:p>
    <w:p>
      <w:pPr>
        <w:pStyle w:val="BodyText"/>
      </w:pPr>
      <w:r>
        <w:t xml:space="preserve">Disclaimer: This report is generated based on available data and industry standards. While efforts have been made to ensure accuracy, the actual carbon footprint may vary depending on specific operational details and data precision.</w:t>
      </w:r>
    </w:p>
    <w:bookmarkEnd w:id="20"/>
    <w:p>
      <w:pPr>
        <w:pStyle w:val="BodyText"/>
      </w:pPr>
      <w:r>
        <w:t xml:space="preserve">Generated Date: June 4, 2026</w:t>
      </w:r>
    </w:p>
    <w:bookmarkStart w:id="44" w:name="X0e307ca9adca6e447f30d969e6258a827fdd84a"/>
    <w:p>
      <w:pPr>
        <w:pStyle w:val="Heading1"/>
      </w:pPr>
      <w:r>
        <w:t xml:space="preserve">Product Carbon Footprint Analysis Report: xyvxdkmmhf</w:t>
      </w:r>
    </w:p>
    <w:p>
      <w:pPr>
        <w:pStyle w:val="FirstParagraph"/>
      </w:pPr>
      <w:r>
        <w:rPr>
          <w:bCs/>
          <w:b/>
        </w:rPr>
        <w:t xml:space="preserve">Company Name:</w:t>
      </w:r>
      <w:r>
        <w:t xml:space="preserve"> </w:t>
      </w:r>
      <w:r>
        <w:t xml:space="preserve">plpovrwzor</w:t>
      </w:r>
    </w:p>
    <w:p>
      <w:pPr>
        <w:pStyle w:val="BodyText"/>
      </w:pPr>
      <w:r>
        <w:rPr>
          <w:bCs/>
          <w:b/>
        </w:rPr>
        <w:t xml:space="preserve">Senior Sustainability Consultant:</w:t>
      </w:r>
      <w:r>
        <w:t xml:space="preserve"> </w:t>
      </w:r>
      <w:r>
        <w:t xml:space="preserve">jnxdxgldzd</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xyvxdkmmhf, manufactured by plpovrwzor. The analysis adheres strictly to the GHG Protocol accounting standard, incorporating the 2026 Land Sector and Removals (LSR) Standard and ensuring at least 95% coverage for Scope 3 emissions. Conducted by jnxdxgldzd, Senior Sustainability Consultant, this study provides a comprehensive overview of greenhouse gas emissions across the product\'s lifecycle, from raw material extraction to end-of-life, with a focus on identifying key emission hotspots and opportunities for reduction. The geographic scope focuses on final production in China with a supply chain emphasis on Europe. The primary goal is to provide actionable insights for plpovrwzor to enhance the sustainability performance of xyvxdkmmhf.</w:t>
      </w:r>
    </w:p>
    <w:p>
      <w:r>
        <w:pict>
          <v:rect style="width:0;height:1.5pt" o:hralign="center" o:hrstd="t" o:hr="t"/>
        </w:pict>
      </w:r>
    </w:p>
    <w:bookmarkEnd w:id="21"/>
    <w:bookmarkStart w:id="22" w:name="defining-the-scope"/>
    <w:p>
      <w:pPr>
        <w:pStyle w:val="Heading2"/>
      </w:pPr>
      <w:r>
        <w:t xml:space="preserve">1. Defining the Scope</w:t>
      </w:r>
    </w:p>
    <w:p>
      <w:pPr>
        <w:pStyle w:val="FirstParagraph"/>
      </w:pPr>
      <w:r>
        <w:t xml:space="preserve">The scope definition is critical for establishing the boundaries and parameters of the PCF analysis, ensuring consistency and comparability.</w:t>
      </w:r>
    </w:p>
    <w:p>
      <w:pPr>
        <w:numPr>
          <w:ilvl w:val="0"/>
          <w:numId w:val="1001"/>
        </w:numPr>
        <w:pStyle w:val="Compact"/>
      </w:pPr>
      <w:r>
        <w:rPr>
          <w:bCs/>
          <w:b/>
        </w:rPr>
        <w:t xml:space="preserve">Functional Unit:</w:t>
      </w:r>
      <w:r>
        <w:t xml:space="preserve"> </w:t>
      </w:r>
      <w:r>
        <w:t xml:space="preserve">1.0 unit of xyvxdkmmhf. This represents the quantified performance of the product for which the environmental impact is assessed.</w:t>
      </w:r>
    </w:p>
    <w:p>
      <w:pPr>
        <w:numPr>
          <w:ilvl w:val="0"/>
          <w:numId w:val="1001"/>
        </w:numPr>
        <w:pStyle w:val="Compact"/>
      </w:pPr>
      <w:r>
        <w:rPr>
          <w:bCs/>
          <w:b/>
        </w:rPr>
        <w:t xml:space="preserve">System Boundary:</w:t>
      </w:r>
      <w:r>
        <w:t xml:space="preserve"> </w:t>
      </w:r>
      <w:r>
        <w:t xml:space="preserve">factory_gate. This "cradle-to-gate" assessment covers all processes from raw material acquisition, through manufacturing, up to the point the finished product leaves the factory gate. For a comprehensive PCF, it also extends to the use phase and end-of-life as per the detailed requirements.</w:t>
      </w:r>
    </w:p>
    <w:p>
      <w:pPr>
        <w:numPr>
          <w:ilvl w:val="0"/>
          <w:numId w:val="1001"/>
        </w:numPr>
        <w:pStyle w:val="Compact"/>
      </w:pPr>
      <w:r>
        <w:rPr>
          <w:bCs/>
          <w:b/>
        </w:rPr>
        <w:t xml:space="preserve">Geographic Scope:</w:t>
      </w:r>
      <w:r>
        <w:t xml:space="preserve"> </w:t>
      </w:r>
      <w:r>
        <w:t xml:space="preserve">Final Production Country: China, Supply Chain Focus: Europe Focused. This indicates that primary manufacturing emissions are considered within China, while material and component sourcing impacts are modeled with a European focus where applicable.</w:t>
      </w:r>
    </w:p>
    <w:p>
      <w:pPr>
        <w:numPr>
          <w:ilvl w:val="0"/>
          <w:numId w:val="1001"/>
        </w:numPr>
        <w:pStyle w:val="Compact"/>
      </w:pPr>
      <w:r>
        <w:rPr>
          <w:bCs/>
          <w:b/>
        </w:rPr>
        <w:t xml:space="preserve">Accounting Standard:</w:t>
      </w:r>
      <w:r>
        <w:t xml:space="preserve"> </w:t>
      </w:r>
      <w:r>
        <w:t xml:space="preserve">GHG Protocol Product Standard. This standard provides a robust framework for quantifying and reporting greenhouse gas emissions associated with individual products.</w:t>
      </w:r>
    </w:p>
    <w:p>
      <w:pPr>
        <w:numPr>
          <w:ilvl w:val="0"/>
          <w:numId w:val="1001"/>
        </w:numPr>
        <w:pStyle w:val="Compact"/>
      </w:pPr>
      <w:r>
        <w:rPr>
          <w:bCs/>
          <w:b/>
        </w:rPr>
        <w:t xml:space="preserve">Allocation:</w:t>
      </w:r>
      <w:r>
        <w:t xml:space="preserve"> </w:t>
      </w:r>
      <w:r>
        <w:t xml:space="preserve">Emissions from shared processes or facilities are allocated to xyvxdkmmhf based on mass, economic value, or other relevant physical relationships, ensuring that the product bears its proportional share of environmental burden.</w:t>
      </w:r>
    </w:p>
    <w:p>
      <w:r>
        <w:pict>
          <v:rect style="width:0;height:1.5pt" o:hralign="center" o:hrstd="t" o:hr="t"/>
        </w:pict>
      </w:r>
    </w:p>
    <w:bookmarkEnd w:id="22"/>
    <w:bookmarkStart w:id="28" w:name="X1c2b8334d48e66654b55f84164e32fa266cf112"/>
    <w:p>
      <w:pPr>
        <w:pStyle w:val="Heading2"/>
      </w:pPr>
      <w:r>
        <w:t xml:space="preserve">2. Mapping the Lifecycle (LCI Inventory Stages) &amp; 3. Collecting Data</w:t>
      </w:r>
    </w:p>
    <w:p>
      <w:pPr>
        <w:pStyle w:val="FirstParagraph"/>
      </w:pPr>
      <w:r>
        <w:t xml:space="preserve">This section details the lifecycle stages considered and the primary and secondary data points collected for the analysis. Given the provided parameters, specific data points are used for calculation, while generic industry-average emission factors are utilized where specific data is unavailable.</w:t>
      </w:r>
    </w:p>
    <w:bookmarkStart w:id="23" w:name="X21daebf6e2e89221eedd09a950314a91b715c95"/>
    <w:p>
      <w:pPr>
        <w:pStyle w:val="Heading3"/>
      </w:pPr>
      <w:r>
        <w:t xml:space="preserve">Material Acquisition and Pre-processing (Upstream - Scope 3)</w:t>
      </w:r>
    </w:p>
    <w:p>
      <w:pPr>
        <w:pStyle w:val="FirstParagraph"/>
      </w:pPr>
      <w:r>
        <w:t xml:space="preserve">Raw material extraction, processing, and manufacturing of components are significant contributors to a product\'s footprint. The following Detailed Bill of Materials (BOM) for xyvxdkmmhf was used for high-accuracy material impact calculation. These values are illustrative, demonstrating how the provided format for `mjnhxlun` is applied: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12.0</w:t>
            </w:r>
          </w:p>
        </w:tc>
        <w:tc>
          <w:tcPr/>
          <w:p>
            <w:pPr>
              <w:pStyle w:val="Compact"/>
              <w:jc w:val="left"/>
            </w:pPr>
            <w:r>
              <w:t xml:space="preserve">1.800</w:t>
            </w:r>
          </w:p>
        </w:tc>
      </w:tr>
      <w:tr>
        <w:tc>
          <w:tcPr/>
          <w:p>
            <w:pPr>
              <w:pStyle w:val="Compact"/>
              <w:jc w:val="left"/>
            </w:pPr>
            <w:r>
              <w:t xml:space="preserve">P001</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3.5</w:t>
            </w:r>
          </w:p>
        </w:tc>
        <w:tc>
          <w:tcPr/>
          <w:p>
            <w:pPr>
              <w:pStyle w:val="Compact"/>
              <w:jc w:val="left"/>
            </w:pPr>
            <w:r>
              <w:t xml:space="preserve">0.175</w:t>
            </w:r>
          </w:p>
        </w:tc>
      </w:tr>
      <w:tr>
        <w:tc>
          <w:tcPr/>
          <w:p>
            <w:pPr>
              <w:pStyle w:val="Compact"/>
              <w:jc w:val="left"/>
            </w:pPr>
            <w:r>
              <w:t xml:space="preserve">E001</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0.500</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Cell Production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0.500</w:t>
            </w:r>
          </w:p>
        </w:tc>
      </w:tr>
      <w:tr>
        <w:tc>
          <w:tcPr/>
          <w:p>
            <w:pPr>
              <w:pStyle w:val="Compact"/>
              <w:jc w:val="left"/>
            </w:pPr>
            <w:r>
              <w:t xml:space="preserve">C001</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0.020</w:t>
            </w:r>
          </w:p>
        </w:tc>
      </w:tr>
      <w:tr>
        <w:tc>
          <w:tcPr/>
          <w:p>
            <w:pPr>
              <w:pStyle w:val="Compact"/>
              <w:jc w:val="left"/>
            </w:pPr>
            <w:r>
              <w:t xml:space="preserve">PKG1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Corrugation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0.024</w:t>
            </w:r>
          </w:p>
        </w:tc>
      </w:tr>
    </w:tbl>
    <w:p>
      <w:pPr>
        <w:pStyle w:val="BodyText"/>
      </w:pPr>
      <w:r>
        <w:rPr>
          <w:iCs/>
          <w:i/>
        </w:rPr>
        <w:t xml:space="preserve">Note: The "Total Carbon" values are calculated based on the provided Quantity and Emission Factor for illustrative purposes, applying the formula: Quantity × Emission Factor. The sum of these will contribute to the total material footprint.</w:t>
      </w:r>
    </w:p>
    <w:bookmarkEnd w:id="23"/>
    <w:bookmarkStart w:id="24" w:name="manufacturingproduction-phase-scope-1-2"/>
    <w:p>
      <w:pPr>
        <w:pStyle w:val="Heading3"/>
      </w:pPr>
      <w:r>
        <w:t xml:space="preserve">Manufacturing/Production Phase (Scope 1 &amp; 2)</w:t>
      </w:r>
    </w:p>
    <w:p>
      <w:pPr>
        <w:pStyle w:val="FirstParagraph"/>
      </w:pPr>
      <w:r>
        <w:t xml:space="preserve">This phase covers the energy consumed directly at the plpovrwzor factory during the assembly and production of xyvxdkmmhf.</w:t>
      </w:r>
    </w:p>
    <w:p>
      <w:pPr>
        <w:numPr>
          <w:ilvl w:val="0"/>
          <w:numId w:val="1002"/>
        </w:numPr>
        <w:pStyle w:val="Compact"/>
      </w:pPr>
      <w:r>
        <w:rPr>
          <w:bCs/>
          <w:b/>
        </w:rPr>
        <w:t xml:space="preserve">Energy Intensity (kWh/unit):</w:t>
      </w:r>
      <w:r>
        <w:t xml:space="preserve"> </w:t>
      </w:r>
      <w:r>
        <w:t xml:space="preserve">sedxnqvyyl (Illustrative value used: 2.5 kWh/unit)</w:t>
      </w:r>
    </w:p>
    <w:p>
      <w:pPr>
        <w:numPr>
          <w:ilvl w:val="0"/>
          <w:numId w:val="1002"/>
        </w:numPr>
        <w:pStyle w:val="Compact"/>
      </w:pPr>
      <w:r>
        <w:rPr>
          <w:bCs/>
          <w:b/>
        </w:rPr>
        <w:t xml:space="preserve">Renewable Energy Usage:</w:t>
      </w:r>
      <w:r>
        <w:t xml:space="preserve"> </w:t>
      </w:r>
      <w:r>
        <w:t xml:space="preserve">dltdyflgmy (Illustrative value used: 75%)</w:t>
      </w:r>
    </w:p>
    <w:p>
      <w:pPr>
        <w:numPr>
          <w:ilvl w:val="0"/>
          <w:numId w:val="1002"/>
        </w:numPr>
        <w:pStyle w:val="Compact"/>
      </w:pPr>
      <w:r>
        <w:rPr>
          <w:bCs/>
          <w:b/>
        </w:rPr>
        <w:t xml:space="preserve">Grid Electricity Emission Factor (China, illustrative):</w:t>
      </w:r>
      <w:r>
        <w:t xml:space="preserve"> </w:t>
      </w:r>
      <w:r>
        <w:t xml:space="preserve">0.60 kgCO2e/kWh. This factor represents the national average grid carbon footprint factor for China.</w:t>
      </w:r>
    </w:p>
    <w:p>
      <w:pPr>
        <w:numPr>
          <w:ilvl w:val="0"/>
          <w:numId w:val="1002"/>
        </w:numPr>
        <w:pStyle w:val="Compact"/>
      </w:pPr>
      <w:r>
        <w:rPr>
          <w:bCs/>
          <w:b/>
        </w:rPr>
        <w:t xml:space="preserve">Direct emissions (Scope 1):</w:t>
      </w:r>
      <w:r>
        <w:t xml:space="preserve"> </w:t>
      </w:r>
      <w:r>
        <w:t xml:space="preserve">Any on-site fuel combustion or process emissions are considered. (Assumed negligible for this product\'s manufacturing without specific data.)</w:t>
      </w:r>
    </w:p>
    <w:bookmarkEnd w:id="24"/>
    <w:bookmarkStart w:id="25" w:name="transport-and-distribution-scope-3"/>
    <w:p>
      <w:pPr>
        <w:pStyle w:val="Heading3"/>
      </w:pPr>
      <w:r>
        <w:t xml:space="preserve">Transport and Distribution (Scope 3)</w:t>
      </w:r>
    </w:p>
    <w:p>
      <w:pPr>
        <w:pStyle w:val="FirstParagraph"/>
      </w:pPr>
      <w:r>
        <w:t xml:space="preserve">Logistics play a critical role in the overall footprint, especially for products with international supply chains.</w:t>
      </w:r>
    </w:p>
    <w:p>
      <w:pPr>
        <w:numPr>
          <w:ilvl w:val="0"/>
          <w:numId w:val="1003"/>
        </w:numPr>
        <w:pStyle w:val="Compact"/>
      </w:pPr>
      <w:r>
        <w:rPr>
          <w:bCs/>
          <w:b/>
        </w:rPr>
        <w:t xml:space="preserve">Primary Transport Mode:</w:t>
      </w:r>
      <w:r>
        <w:t xml:space="preserve"> </w:t>
      </w:r>
      <w:r>
        <w:t xml:space="preserve">Select Mode (Illustrative value used: Ocean Freight - Bulk Cargo)</w:t>
      </w:r>
    </w:p>
    <w:p>
      <w:pPr>
        <w:numPr>
          <w:ilvl w:val="0"/>
          <w:numId w:val="1003"/>
        </w:numPr>
        <w:pStyle w:val="Compact"/>
      </w:pPr>
      <w:r>
        <w:rPr>
          <w:bCs/>
          <w:b/>
        </w:rPr>
        <w:t xml:space="preserve">Primary Transport Distance:</w:t>
      </w:r>
      <w:r>
        <w:t xml:space="preserve"> </w:t>
      </w:r>
      <w:r>
        <w:t xml:space="preserve">nwmspthuks (Illustrative value used: 15,000 km, e.g., China to Europe)</w:t>
      </w:r>
    </w:p>
    <w:p>
      <w:pPr>
        <w:numPr>
          <w:ilvl w:val="0"/>
          <w:numId w:val="1003"/>
        </w:numPr>
        <w:pStyle w:val="Compact"/>
      </w:pPr>
      <w:r>
        <w:rPr>
          <w:bCs/>
          <w:b/>
        </w:rPr>
        <w:t xml:space="preserve">Last-Mile Delivery Channel:</w:t>
      </w:r>
      <w:r>
        <w:t xml:space="preserve"> </w:t>
      </w:r>
      <w:r>
        <w:t xml:space="preserve">Delivery Type (Illustrative value used: Light Commercial Vehicle (LCV))</w:t>
      </w:r>
    </w:p>
    <w:p>
      <w:pPr>
        <w:numPr>
          <w:ilvl w:val="0"/>
          <w:numId w:val="1003"/>
        </w:numPr>
        <w:pStyle w:val="Compact"/>
      </w:pPr>
      <w:r>
        <w:rPr>
          <w:bCs/>
          <w:b/>
        </w:rPr>
        <w:t xml:space="preserve">Estimated Product Weight for Transport:</w:t>
      </w:r>
      <w:r>
        <w:t xml:space="preserve"> </w:t>
      </w:r>
      <w:r>
        <w:t xml:space="preserve">Sum of BOM items + packaging = 0.15 + 0.05 + 0.01 + 0.02 + 0.005 + 0.03 = 0.285 kg. Assuming a packaging/secondary packaging weight, let\'s use 0.35 kg/unit for transport calculations to account for typical product packing.</w:t>
      </w:r>
    </w:p>
    <w:p>
      <w:pPr>
        <w:numPr>
          <w:ilvl w:val="0"/>
          <w:numId w:val="1003"/>
        </w:numPr>
        <w:pStyle w:val="Compact"/>
      </w:pPr>
      <w:r>
        <w:rPr>
          <w:bCs/>
          <w:b/>
        </w:rPr>
        <w:t xml:space="preserve">Emission Factor - Ocean Freight (illustrative):</w:t>
      </w:r>
      <w:r>
        <w:t xml:space="preserve"> </w:t>
      </w:r>
      <w:r>
        <w:t xml:space="preserve">0.016 kgCO2e/tonne-km. This factor is an average for container ships.</w:t>
      </w:r>
    </w:p>
    <w:p>
      <w:pPr>
        <w:numPr>
          <w:ilvl w:val="0"/>
          <w:numId w:val="1003"/>
        </w:numPr>
        <w:pStyle w:val="Compact"/>
      </w:pPr>
      <w:r>
        <w:rPr>
          <w:bCs/>
          <w:b/>
        </w:rPr>
        <w:t xml:space="preserve">Emission Factor - LCV (illustrative):</w:t>
      </w:r>
      <w:r>
        <w:t xml:space="preserve"> </w:t>
      </w:r>
      <w:r>
        <w:t xml:space="preserve">0.07 kgCO2e/tonne-km. This is a representative factor for road freight, often applicable to light commercial vehicles.</w:t>
      </w:r>
    </w:p>
    <w:bookmarkEnd w:id="25"/>
    <w:bookmarkStart w:id="26" w:name="use-phase-scope-3"/>
    <w:p>
      <w:pPr>
        <w:pStyle w:val="Heading3"/>
      </w:pPr>
      <w:r>
        <w:t xml:space="preserve">Use Phase (Scope 3)</w:t>
      </w:r>
    </w:p>
    <w:p>
      <w:pPr>
        <w:pStyle w:val="FirstParagraph"/>
      </w:pPr>
      <w:r>
        <w:t xml:space="preserve">The energy consumed by the product during its operational lifetime is a key consideration.</w:t>
      </w:r>
    </w:p>
    <w:p>
      <w:pPr>
        <w:numPr>
          <w:ilvl w:val="0"/>
          <w:numId w:val="1004"/>
        </w:numPr>
        <w:pStyle w:val="Compact"/>
      </w:pPr>
      <w:r>
        <w:rPr>
          <w:bCs/>
          <w:b/>
        </w:rPr>
        <w:t xml:space="preserve">Product Lifespan:</w:t>
      </w:r>
      <w:r>
        <w:t xml:space="preserve"> </w:t>
      </w:r>
      <w:r>
        <w:t xml:space="preserve">hvtuuprrvm (Illustrative value used: 3 years)</w:t>
      </w:r>
    </w:p>
    <w:p>
      <w:pPr>
        <w:numPr>
          <w:ilvl w:val="0"/>
          <w:numId w:val="1004"/>
        </w:numPr>
        <w:pStyle w:val="Compact"/>
      </w:pPr>
      <w:r>
        <w:rPr>
          <w:bCs/>
          <w:b/>
        </w:rPr>
        <w:t xml:space="preserve">Energy Consumption in Use (per year):</w:t>
      </w:r>
      <w:r>
        <w:t xml:space="preserve"> </w:t>
      </w:r>
      <w:r>
        <w:t xml:space="preserve">oyskigrtyl (Illustrative value used: 5 kWh/year)</w:t>
      </w:r>
    </w:p>
    <w:p>
      <w:pPr>
        <w:numPr>
          <w:ilvl w:val="0"/>
          <w:numId w:val="1004"/>
        </w:numPr>
        <w:pStyle w:val="Compact"/>
      </w:pPr>
      <w:r>
        <w:rPr>
          <w:bCs/>
          <w:b/>
        </w:rPr>
        <w:t xml:space="preserve">Electricity Emission Factor (User Country, illustrative - assumed European average):</w:t>
      </w:r>
      <w:r>
        <w:t xml:space="preserve"> </w:t>
      </w:r>
      <w:r>
        <w:t xml:space="preserve">0.25 kgCO2e/kWh. This factor represents an average grid electricity emission intensity for the European Union.</w:t>
      </w:r>
    </w:p>
    <w:bookmarkEnd w:id="26"/>
    <w:bookmarkStart w:id="27" w:name="end-of-life-eol-phase-scope-3"/>
    <w:p>
      <w:pPr>
        <w:pStyle w:val="Heading3"/>
      </w:pPr>
      <w:r>
        <w:t xml:space="preserve">End-of-Life (EoL) Phase (Scope 3)</w:t>
      </w:r>
    </w:p>
    <w:p>
      <w:pPr>
        <w:pStyle w:val="FirstParagraph"/>
      </w:pPr>
      <w:r>
        <w:t xml:space="preserve">The disposal or recycling of the product at the end of its useful life.</w:t>
      </w:r>
    </w:p>
    <w:p>
      <w:pPr>
        <w:numPr>
          <w:ilvl w:val="0"/>
          <w:numId w:val="1005"/>
        </w:numPr>
        <w:pStyle w:val="Compact"/>
      </w:pPr>
      <w:r>
        <w:rPr>
          <w:bCs/>
          <w:b/>
        </w:rPr>
        <w:t xml:space="preserve">Recyclability Percentage:</w:t>
      </w:r>
      <w:r>
        <w:t xml:space="preserve"> </w:t>
      </w:r>
      <w:r>
        <w:t xml:space="preserve">sqxgqvfuvp (Illustrative value used: 70%)</w:t>
      </w:r>
    </w:p>
    <w:p>
      <w:pPr>
        <w:numPr>
          <w:ilvl w:val="0"/>
          <w:numId w:val="1005"/>
        </w:numPr>
        <w:pStyle w:val="Compact"/>
      </w:pPr>
      <w:r>
        <w:rPr>
          <w:bCs/>
          <w:b/>
        </w:rPr>
        <w:t xml:space="preserve">Circular/Take-back Programs:</w:t>
      </w:r>
      <w:r>
        <w:t xml:space="preserve"> </w:t>
      </w:r>
      <w:r>
        <w:t xml:space="preserve">drgxheqdej (Illustrative value used: Yes, company-sponsored take-back scheme)</w:t>
      </w:r>
    </w:p>
    <w:p>
      <w:pPr>
        <w:numPr>
          <w:ilvl w:val="0"/>
          <w:numId w:val="1005"/>
        </w:numPr>
        <w:pStyle w:val="Compact"/>
      </w:pPr>
      <w:r>
        <w:rPr>
          <w:bCs/>
          <w:b/>
        </w:rPr>
        <w:t xml:space="preserve">Disposal to Landfill Emission Factor (illustrative):</w:t>
      </w:r>
      <w:r>
        <w:t xml:space="preserve"> </w:t>
      </w:r>
      <w:r>
        <w:t xml:space="preserve">0.3 kgCO2e/kg (for non-recycled mixed waste). This factor considers conventional landfilling without accounting for biogenic carbon storage.</w:t>
      </w:r>
    </w:p>
    <w:p>
      <w:pPr>
        <w:numPr>
          <w:ilvl w:val="0"/>
          <w:numId w:val="1005"/>
        </w:numPr>
        <w:pStyle w:val="Compact"/>
      </w:pPr>
      <w:r>
        <w:rPr>
          <w:bCs/>
          <w:b/>
        </w:rPr>
        <w:t xml:space="preserve">Recycling avoided emissions (illustrative):</w:t>
      </w:r>
      <w:r>
        <w:t xml:space="preserve"> </w:t>
      </w:r>
      <w:r>
        <w:t xml:space="preserve">-1.0 kgCO2e/kg (average for mixed materials, representing avoided virgin material production). This figure signifies the carbon savings due to the displacement of virgin material production through recycling.</w:t>
      </w:r>
    </w:p>
    <w:p>
      <w:r>
        <w:pict>
          <v:rect style="width:0;height:1.5pt" o:hralign="center" o:hrstd="t" o:hr="t"/>
        </w:pict>
      </w:r>
    </w:p>
    <w:bookmarkEnd w:id="27"/>
    <w:bookmarkEnd w:id="28"/>
    <w:bookmarkStart w:id="38" w:name="X3720d7d0541b3a6e3c473bd4daa188ddb828856"/>
    <w:p>
      <w:pPr>
        <w:pStyle w:val="Heading2"/>
      </w:pPr>
      <w:r>
        <w:t xml:space="preserve">4. Calculating Emissions (Activity * Emission Factor = CO2e)</w:t>
      </w:r>
    </w:p>
    <w:p>
      <w:pPr>
        <w:pStyle w:val="FirstParagraph"/>
      </w:pPr>
      <w:r>
        <w:t xml:space="preserve">The total carbon footprint is calculated by summing the emissions from each lifecycle stage, categorized according to the GHG Protocol (Scope 1, 2, and 3). This analysis also incorporates the 2026 Land Sector and Removals (LSR) Standard by acknowledging land use impacts and potential carbon removals, particularly through circular economy initiatives.</w:t>
      </w:r>
    </w:p>
    <w:bookmarkStart w:id="29" w:name="X3834ba8f084cbab371c32cc2609c5d79a788663"/>
    <w:p>
      <w:pPr>
        <w:pStyle w:val="Heading3"/>
      </w:pPr>
      <w:r>
        <w:t xml:space="preserve">Total Product Carbon Footprint: xyvxdkmmhf</w:t>
      </w:r>
    </w:p>
    <w:p>
      <w:pPr>
        <w:pStyle w:val="FirstParagraph"/>
      </w:pPr>
      <w:r>
        <w:t xml:space="preserve">The following calculations demonstrate the methodology with illustrative values based on the parameters provided. Actual values would require specific data for each parameter.</w:t>
      </w:r>
    </w:p>
    <w:bookmarkEnd w:id="29"/>
    <w:bookmarkStart w:id="30" w:name="Xa5e05c0e793b2e3b8927cb1b228e81f97f2094b"/>
    <w:p>
      <w:pPr>
        <w:pStyle w:val="Heading3"/>
      </w:pPr>
      <w:r>
        <w:t xml:space="preserve">Scope 1 Emissions (Direct Emissions from Owned or Controlled Sources)</w:t>
      </w:r>
    </w:p>
    <w:p>
      <w:pPr>
        <w:numPr>
          <w:ilvl w:val="0"/>
          <w:numId w:val="1006"/>
        </w:numPr>
        <w:pStyle w:val="Compact"/>
      </w:pPr>
      <w:r>
        <w:t xml:space="preserve">No direct combustion emissions are assumed for the manufacturing of xyvxdkmmhf based on available data for the specified product. If any on-site fuel consumption were present, it would be accounted for here.</w:t>
      </w:r>
    </w:p>
    <w:p>
      <w:pPr>
        <w:numPr>
          <w:ilvl w:val="0"/>
          <w:numId w:val="1006"/>
        </w:numPr>
        <w:pStyle w:val="Compact"/>
      </w:pPr>
      <w:r>
        <w:rPr>
          <w:bCs/>
          <w:b/>
        </w:rPr>
        <w:t xml:space="preserve">Total Scope 1 Emissions: 0.00 kgCO2e/unit</w:t>
      </w:r>
      <w:r>
        <w:t xml:space="preserve"> </w:t>
      </w:r>
      <w:r>
        <w:t xml:space="preserve">(Illustrative)</w:t>
      </w:r>
    </w:p>
    <w:bookmarkEnd w:id="30"/>
    <w:bookmarkStart w:id="31" w:name="X1bd5ed5ba51603fe7fc5fd46de6dc3081dfffbb"/>
    <w:p>
      <w:pPr>
        <w:pStyle w:val="Heading3"/>
      </w:pPr>
      <w:r>
        <w:t xml:space="preserve">Scope 2 Emissions (Indirect Emissions from Purchased Energy)</w:t>
      </w:r>
    </w:p>
    <w:p>
      <w:pPr>
        <w:numPr>
          <w:ilvl w:val="0"/>
          <w:numId w:val="1007"/>
        </w:numPr>
        <w:pStyle w:val="Compact"/>
      </w:pPr>
      <w:r>
        <w:t xml:space="preserve">Energy Intensity: 2.5 kWh/unit (sedxnqvyyl)</w:t>
      </w:r>
    </w:p>
    <w:p>
      <w:pPr>
        <w:numPr>
          <w:ilvl w:val="0"/>
          <w:numId w:val="1007"/>
        </w:numPr>
        <w:pStyle w:val="Compact"/>
      </w:pPr>
      <w:r>
        <w:t xml:space="preserve">Renewable Energy Usage: 75% (dltdyflgmy)</w:t>
      </w:r>
    </w:p>
    <w:p>
      <w:pPr>
        <w:numPr>
          <w:ilvl w:val="0"/>
          <w:numId w:val="1007"/>
        </w:numPr>
        <w:pStyle w:val="Compact"/>
      </w:pPr>
      <w:r>
        <w:t xml:space="preserve">Non-renewable electricity used: 2.5 kWh/unit * (1 - 0.75) = 0.625 kWh/unit</w:t>
      </w:r>
    </w:p>
    <w:p>
      <w:pPr>
        <w:numPr>
          <w:ilvl w:val="0"/>
          <w:numId w:val="1007"/>
        </w:numPr>
        <w:pStyle w:val="Compact"/>
      </w:pPr>
      <w:r>
        <w:t xml:space="preserve">Grid Electricity Emission Factor (China): 0.60 kgCO2e/kWh</w:t>
      </w:r>
    </w:p>
    <w:p>
      <w:pPr>
        <w:numPr>
          <w:ilvl w:val="0"/>
          <w:numId w:val="1007"/>
        </w:numPr>
        <w:pStyle w:val="Compact"/>
      </w:pPr>
      <w:r>
        <w:rPr>
          <w:bCs/>
          <w:b/>
        </w:rPr>
        <w:t xml:space="preserve">Calculation:</w:t>
      </w:r>
      <w:r>
        <w:t xml:space="preserve"> </w:t>
      </w:r>
      <w:r>
        <w:t xml:space="preserve">0.625 kWh/unit * 0.60 kgCO2e/kWh = 0.375 kgCO2e/unit</w:t>
      </w:r>
    </w:p>
    <w:p>
      <w:pPr>
        <w:numPr>
          <w:ilvl w:val="0"/>
          <w:numId w:val="1007"/>
        </w:numPr>
        <w:pStyle w:val="Compact"/>
      </w:pPr>
      <w:r>
        <w:rPr>
          <w:bCs/>
          <w:b/>
        </w:rPr>
        <w:t xml:space="preserve">Total Scope 2 Emissions: 0.375 kgCO2e/unit</w:t>
      </w:r>
    </w:p>
    <w:bookmarkEnd w:id="31"/>
    <w:bookmarkStart w:id="36" w:name="Xfba9a0cf1430a71c12d1f705b4bd26e86bf0ddd"/>
    <w:p>
      <w:pPr>
        <w:pStyle w:val="Heading3"/>
      </w:pPr>
      <w:r>
        <w:t xml:space="preserve">Scope 3 Emissions (All Other Indirect Emissions in the Value Chain)</w:t>
      </w:r>
    </w:p>
    <w:p>
      <w:pPr>
        <w:pStyle w:val="FirstParagraph"/>
      </w:pPr>
      <w:r>
        <w:t xml:space="preserve">Scope 3 emissions constitute the largest portion of most product footprints and are broken down by lifecycle stage.</w:t>
      </w:r>
    </w:p>
    <w:bookmarkStart w:id="32" w:name="X7421a82f643a6f11c05e3051cd12285854a853e"/>
    <w:p>
      <w:pPr>
        <w:pStyle w:val="Heading4"/>
      </w:pPr>
      <w:r>
        <w:t xml:space="preserve">A. Upstream Emissions (Category 1: Purchased Goods and Services)</w:t>
      </w:r>
    </w:p>
    <w:p>
      <w:pPr>
        <w:pStyle w:val="FirstParagraph"/>
      </w:pPr>
      <w:r>
        <w:t xml:space="preserve">Based on the illustrative Detailed Bill of Materials:</w:t>
      </w:r>
    </w:p>
    <w:p>
      <w:pPr>
        <w:numPr>
          <w:ilvl w:val="0"/>
          <w:numId w:val="1008"/>
        </w:numPr>
        <w:pStyle w:val="Compact"/>
      </w:pPr>
      <w:r>
        <w:t xml:space="preserve">Aluminum Casing: 1.800 kgCO2e</w:t>
      </w:r>
    </w:p>
    <w:p>
      <w:pPr>
        <w:numPr>
          <w:ilvl w:val="0"/>
          <w:numId w:val="1008"/>
        </w:numPr>
        <w:pStyle w:val="Compact"/>
      </w:pPr>
      <w:r>
        <w:t xml:space="preserve">ABS Plastic Housing: 0.175 kgCO2e</w:t>
      </w:r>
    </w:p>
    <w:p>
      <w:pPr>
        <w:numPr>
          <w:ilvl w:val="0"/>
          <w:numId w:val="1008"/>
        </w:numPr>
        <w:pStyle w:val="Compact"/>
      </w:pPr>
      <w:r>
        <w:t xml:space="preserve">PCB Assembly: 0.500 kgCO2e</w:t>
      </w:r>
    </w:p>
    <w:p>
      <w:pPr>
        <w:numPr>
          <w:ilvl w:val="0"/>
          <w:numId w:val="1008"/>
        </w:numPr>
        <w:pStyle w:val="Compact"/>
      </w:pPr>
      <w:r>
        <w:t xml:space="preserve">Lithium-ion Battery: 0.500 kgCO2e</w:t>
      </w:r>
    </w:p>
    <w:p>
      <w:pPr>
        <w:numPr>
          <w:ilvl w:val="0"/>
          <w:numId w:val="1008"/>
        </w:numPr>
        <w:pStyle w:val="Compact"/>
      </w:pPr>
      <w:r>
        <w:t xml:space="preserve">Copper Wire: 0.020 kgCO2e</w:t>
      </w:r>
    </w:p>
    <w:p>
      <w:pPr>
        <w:numPr>
          <w:ilvl w:val="0"/>
          <w:numId w:val="1008"/>
        </w:numPr>
        <w:pStyle w:val="Compact"/>
      </w:pPr>
      <w:r>
        <w:t xml:space="preserve">Cardboard Packaging: 0.024 kgCO2e</w:t>
      </w:r>
    </w:p>
    <w:p>
      <w:pPr>
        <w:numPr>
          <w:ilvl w:val="0"/>
          <w:numId w:val="1008"/>
        </w:numPr>
        <w:pStyle w:val="Compact"/>
      </w:pPr>
      <w:r>
        <w:rPr>
          <w:bCs/>
          <w:b/>
        </w:rPr>
        <w:t xml:space="preserve">Total Upstream Materials &amp; Packaging:</w:t>
      </w:r>
      <w:r>
        <w:t xml:space="preserve"> </w:t>
      </w:r>
      <w:r>
        <w:t xml:space="preserve">1.800 + 0.175 + 0.500 + 0.500 + 0.020 + 0.024 =</w:t>
      </w:r>
      <w:r>
        <w:t xml:space="preserve"> </w:t>
      </w:r>
      <w:r>
        <w:rPr>
          <w:bCs/>
          <w:b/>
        </w:rPr>
        <w:t xml:space="preserve">3.019 kgCO2e/unit</w:t>
      </w:r>
    </w:p>
    <w:bookmarkEnd w:id="32"/>
    <w:bookmarkStart w:id="33" w:name="X3f538cfb29279337c80aec858da205c5a2ac325"/>
    <w:p>
      <w:pPr>
        <w:pStyle w:val="Heading4"/>
      </w:pPr>
      <w:r>
        <w:t xml:space="preserve">B. Transport and Distribution (Category 4: Upstream Transportation and Distribution)</w:t>
      </w:r>
    </w:p>
    <w:p>
      <w:pPr>
        <w:pStyle w:val="FirstParagraph"/>
      </w:pPr>
      <w:r>
        <w:t xml:space="preserve">Assuming a total product weight of 0.35 kg (0.00035 tonnes) per unit for transport.</w:t>
      </w:r>
    </w:p>
    <w:p>
      <w:pPr>
        <w:numPr>
          <w:ilvl w:val="0"/>
          <w:numId w:val="1009"/>
        </w:numPr>
        <w:pStyle w:val="Compact"/>
      </w:pPr>
      <w:r>
        <w:rPr>
          <w:bCs/>
          <w:b/>
        </w:rPr>
        <w:t xml:space="preserve">Primary Transport (Ocean Freight):</w:t>
      </w:r>
    </w:p>
    <w:p>
      <w:pPr>
        <w:numPr>
          <w:ilvl w:val="1"/>
          <w:numId w:val="1010"/>
        </w:numPr>
        <w:pStyle w:val="Compact"/>
      </w:pPr>
      <w:r>
        <w:t xml:space="preserve">Distance: 15,000 km (nwmspthuks)</w:t>
      </w:r>
    </w:p>
    <w:p>
      <w:pPr>
        <w:numPr>
          <w:ilvl w:val="1"/>
          <w:numId w:val="1010"/>
        </w:numPr>
        <w:pStyle w:val="Compact"/>
      </w:pPr>
      <w:r>
        <w:t xml:space="preserve">Emission Factor: 0.016 kgCO2e/tonne-km</w:t>
      </w:r>
    </w:p>
    <w:p>
      <w:pPr>
        <w:numPr>
          <w:ilvl w:val="1"/>
          <w:numId w:val="1010"/>
        </w:numPr>
        <w:pStyle w:val="Compact"/>
      </w:pPr>
      <w:r>
        <w:t xml:space="preserve">Calculation: 0.00035 tonnes/unit * 15,000 km * 0.016 kgCO2e/tonne-km = 0.084 kgCO2e/unit</w:t>
      </w:r>
    </w:p>
    <w:p>
      <w:pPr>
        <w:numPr>
          <w:ilvl w:val="0"/>
          <w:numId w:val="1009"/>
        </w:numPr>
        <w:pStyle w:val="Compact"/>
      </w:pPr>
      <w:r>
        <w:rPr>
          <w:bCs/>
          <w:b/>
        </w:rPr>
        <w:t xml:space="preserve">Last-Mile Delivery (LCV):</w:t>
      </w:r>
    </w:p>
    <w:p>
      <w:pPr>
        <w:numPr>
          <w:ilvl w:val="1"/>
          <w:numId w:val="1011"/>
        </w:numPr>
        <w:pStyle w:val="Compact"/>
      </w:pPr>
      <w:r>
        <w:t xml:space="preserve">Assuming an average last-mile distance of 100 km (illustrative for Delivery Type)</w:t>
      </w:r>
    </w:p>
    <w:p>
      <w:pPr>
        <w:numPr>
          <w:ilvl w:val="1"/>
          <w:numId w:val="1011"/>
        </w:numPr>
        <w:pStyle w:val="Compact"/>
      </w:pPr>
      <w:r>
        <w:t xml:space="preserve">Emission Factor: 0.07 kgCO2e/tonne-km</w:t>
      </w:r>
    </w:p>
    <w:p>
      <w:pPr>
        <w:numPr>
          <w:ilvl w:val="1"/>
          <w:numId w:val="1011"/>
        </w:numPr>
        <w:pStyle w:val="Compact"/>
      </w:pPr>
      <w:r>
        <w:t xml:space="preserve">Calculation: 0.00035 tonnes/unit * 100 km * 0.07 kgCO2e/tonne-km = 0.00245 kgCO2e/unit</w:t>
      </w:r>
    </w:p>
    <w:p>
      <w:pPr>
        <w:numPr>
          <w:ilvl w:val="0"/>
          <w:numId w:val="1009"/>
        </w:numPr>
        <w:pStyle w:val="Compact"/>
      </w:pPr>
      <w:r>
        <w:rPr>
          <w:bCs/>
          <w:b/>
        </w:rPr>
        <w:t xml:space="preserve">Total Transport Emissions:</w:t>
      </w:r>
      <w:r>
        <w:t xml:space="preserve"> </w:t>
      </w:r>
      <w:r>
        <w:t xml:space="preserve">0.084 + 0.00245 =</w:t>
      </w:r>
      <w:r>
        <w:t xml:space="preserve"> </w:t>
      </w:r>
      <w:r>
        <w:rPr>
          <w:bCs/>
          <w:b/>
        </w:rPr>
        <w:t xml:space="preserve">0.08645 kgCO2e/unit</w:t>
      </w:r>
    </w:p>
    <w:bookmarkEnd w:id="33"/>
    <w:bookmarkStart w:id="34" w:name="X42a77c2b3fb4edaa2911e423ac1d01f4fb1bfac"/>
    <w:p>
      <w:pPr>
        <w:pStyle w:val="Heading4"/>
      </w:pPr>
      <w:r>
        <w:t xml:space="preserve">C. Use Phase (Category 11: Use of Sold Products)</w:t>
      </w:r>
    </w:p>
    <w:p>
      <w:pPr>
        <w:numPr>
          <w:ilvl w:val="0"/>
          <w:numId w:val="1012"/>
        </w:numPr>
        <w:pStyle w:val="Compact"/>
      </w:pPr>
      <w:r>
        <w:t xml:space="preserve">Product Lifespan: 3 years (hvtuuprrvm)</w:t>
      </w:r>
    </w:p>
    <w:p>
      <w:pPr>
        <w:numPr>
          <w:ilvl w:val="0"/>
          <w:numId w:val="1012"/>
        </w:numPr>
        <w:pStyle w:val="Compact"/>
      </w:pPr>
      <w:r>
        <w:t xml:space="preserve">Energy Consumption per year: 5 kWh/year (oyskigrtyl)</w:t>
      </w:r>
    </w:p>
    <w:p>
      <w:pPr>
        <w:numPr>
          <w:ilvl w:val="0"/>
          <w:numId w:val="1012"/>
        </w:numPr>
        <w:pStyle w:val="Compact"/>
      </w:pPr>
      <w:r>
        <w:t xml:space="preserve">Total Energy Consumption over lifespan: 5 kWh/year * 3 years = 15 kWh</w:t>
      </w:r>
    </w:p>
    <w:p>
      <w:pPr>
        <w:numPr>
          <w:ilvl w:val="0"/>
          <w:numId w:val="1012"/>
        </w:numPr>
        <w:pStyle w:val="Compact"/>
      </w:pPr>
      <w:r>
        <w:t xml:space="preserve">Electricity Emission Factor (European average): 0.25 kgCO2e/kWh</w:t>
      </w:r>
    </w:p>
    <w:p>
      <w:pPr>
        <w:numPr>
          <w:ilvl w:val="0"/>
          <w:numId w:val="1012"/>
        </w:numPr>
        <w:pStyle w:val="Compact"/>
      </w:pPr>
      <w:r>
        <w:rPr>
          <w:bCs/>
          <w:b/>
        </w:rPr>
        <w:t xml:space="preserve">Calculation:</w:t>
      </w:r>
      <w:r>
        <w:t xml:space="preserve"> </w:t>
      </w:r>
      <w:r>
        <w:t xml:space="preserve">15 kWh/unit * 0.25 kgCO2e/kWh = 3.75 kgCO2e/unit</w:t>
      </w:r>
    </w:p>
    <w:p>
      <w:pPr>
        <w:numPr>
          <w:ilvl w:val="0"/>
          <w:numId w:val="1012"/>
        </w:numPr>
        <w:pStyle w:val="Compact"/>
      </w:pPr>
      <w:r>
        <w:rPr>
          <w:bCs/>
          <w:b/>
        </w:rPr>
        <w:t xml:space="preserve">Total Use Phase Emissions: 3.75 kgCO2e/unit</w:t>
      </w:r>
    </w:p>
    <w:bookmarkEnd w:id="34"/>
    <w:bookmarkStart w:id="35" w:name="X1f49ca6b5c2349b1cfbe6064f950af31ac6493c"/>
    <w:p>
      <w:pPr>
        <w:pStyle w:val="Heading4"/>
      </w:pPr>
      <w:r>
        <w:t xml:space="preserve">D. End-of-Life (EoL) Treatment (Category 12: End-of-Life Treatment of Sold Products)</w:t>
      </w:r>
    </w:p>
    <w:p>
      <w:pPr>
        <w:pStyle w:val="FirstParagraph"/>
      </w:pPr>
      <w:r>
        <w:t xml:space="preserve">Total product weight at EoL (excluding packaging from use phase as it\'s separate): ~0.255 kg (sum of components from BOM).</w:t>
      </w:r>
    </w:p>
    <w:p>
      <w:pPr>
        <w:numPr>
          <w:ilvl w:val="0"/>
          <w:numId w:val="1013"/>
        </w:numPr>
        <w:pStyle w:val="Compact"/>
      </w:pPr>
      <w:r>
        <w:t xml:space="preserve">Recyclability Percentage: 70% (sqxgqvfuvp)</w:t>
      </w:r>
    </w:p>
    <w:p>
      <w:pPr>
        <w:numPr>
          <w:ilvl w:val="0"/>
          <w:numId w:val="1013"/>
        </w:numPr>
        <w:pStyle w:val="Compact"/>
      </w:pPr>
      <w:r>
        <w:t xml:space="preserve">Recycled weight: 0.255 kg * 0.70 = 0.1785 kg</w:t>
      </w:r>
    </w:p>
    <w:p>
      <w:pPr>
        <w:numPr>
          <w:ilvl w:val="0"/>
          <w:numId w:val="1013"/>
        </w:numPr>
        <w:pStyle w:val="Compact"/>
      </w:pPr>
      <w:r>
        <w:t xml:space="preserve">Disposed weight (landfill): 0.255 kg * (1 - 0.70) = 0.0765 kg</w:t>
      </w:r>
    </w:p>
    <w:p>
      <w:pPr>
        <w:numPr>
          <w:ilvl w:val="0"/>
          <w:numId w:val="1013"/>
        </w:numPr>
        <w:pStyle w:val="Compact"/>
      </w:pPr>
      <w:r>
        <w:rPr>
          <w:bCs/>
          <w:b/>
        </w:rPr>
        <w:t xml:space="preserve">Emissions from Disposal:</w:t>
      </w:r>
      <w:r>
        <w:t xml:space="preserve"> </w:t>
      </w:r>
      <w:r>
        <w:t xml:space="preserve">0.0765 kg * 0.3 kgCO2e/kg (illustrative landfill factor) = 0.02295 kgCO2e/unit</w:t>
      </w:r>
    </w:p>
    <w:p>
      <w:pPr>
        <w:numPr>
          <w:ilvl w:val="0"/>
          <w:numId w:val="1013"/>
        </w:numPr>
        <w:pStyle w:val="Compact"/>
      </w:pPr>
      <w:r>
        <w:rPr>
          <w:bCs/>
          <w:b/>
        </w:rPr>
        <w:t xml:space="preserve">Avoided Emissions from Recycling:</w:t>
      </w:r>
      <w:r>
        <w:t xml:space="preserve"> </w:t>
      </w:r>
      <w:r>
        <w:t xml:space="preserve">0.1785 kg * -1.0 kgCO2e/kg (illustrative avoided emissions factor) = -0.1785 kgCO2e/unit</w:t>
      </w:r>
    </w:p>
    <w:p>
      <w:pPr>
        <w:numPr>
          <w:ilvl w:val="0"/>
          <w:numId w:val="1013"/>
        </w:numPr>
        <w:pStyle w:val="Compact"/>
      </w:pPr>
      <w:r>
        <w:rPr>
          <w:bCs/>
          <w:b/>
        </w:rPr>
        <w:t xml:space="preserve">Net EoL Emissions:</w:t>
      </w:r>
      <w:r>
        <w:t xml:space="preserve"> </w:t>
      </w:r>
      <w:r>
        <w:t xml:space="preserve">0.02295 - 0.1785 =</w:t>
      </w:r>
      <w:r>
        <w:t xml:space="preserve"> </w:t>
      </w:r>
      <w:r>
        <w:rPr>
          <w:bCs/>
          <w:b/>
        </w:rPr>
        <w:t xml:space="preserve">-0.15555 kgCO2e/unit</w:t>
      </w:r>
      <w:r>
        <w:t xml:space="preserve"> </w:t>
      </w:r>
      <w:r>
        <w:t xml:space="preserve">(a net carbon saving due to recycling benefits)</w:t>
      </w:r>
    </w:p>
    <w:p>
      <w:pPr>
        <w:pStyle w:val="FirstParagraph"/>
      </w:pPr>
      <w:r>
        <w:rPr>
          <w:bCs/>
          <w:b/>
        </w:rPr>
        <w:t xml:space="preserve">2026 LSR Update Consideration:</w:t>
      </w:r>
      <w:r>
        <w:t xml:space="preserve"> </w:t>
      </w:r>
      <w:r>
        <w:t xml:space="preserve">The inclusion of avoided emissions from recycling directly aligns with the spirit of the LSR Standard by acknowledging carbon removals or avoided emissions through circularity. The company\'s take-back program (drgxheqdej: Yes) further supports this by enabling higher recycling rates and potentially material recovery, contributing to a more circular economy and net carbon removals or reduced virgin material demand.</w:t>
      </w:r>
    </w:p>
    <w:bookmarkEnd w:id="35"/>
    <w:bookmarkEnd w:id="36"/>
    <w:bookmarkStart w:id="37" w:name="Xf64d3a6aaa05d57136cabc8089cbb99dd7ca1a4"/>
    <w:p>
      <w:pPr>
        <w:pStyle w:val="Heading3"/>
      </w:pPr>
      <w:r>
        <w:t xml:space="preserve">Summary of Emissions by Scope (Illustrative)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0.375</w:t>
            </w:r>
          </w:p>
        </w:tc>
        <w:tc>
          <w:tcPr/>
          <w:p>
            <w:pPr>
              <w:pStyle w:val="Compact"/>
              <w:jc w:val="left"/>
            </w:pPr>
            <w:r>
              <w:t xml:space="preserve">5.05%</w:t>
            </w:r>
          </w:p>
        </w:tc>
      </w:tr>
      <w:tr>
        <w:tc>
          <w:tcPr>
            <w:vMerge w:val="restart"/>
          </w:tcPr>
          <w:p>
            <w:pPr>
              <w:pStyle w:val="Compact"/>
              <w:jc w:val="left"/>
            </w:pPr>
            <w:r>
              <w:t xml:space="preserve">Scope 3</w:t>
            </w:r>
          </w:p>
        </w:tc>
        <w:tc>
          <w:tcPr/>
          <w:p>
            <w:pPr>
              <w:pStyle w:val="Compact"/>
              <w:jc w:val="left"/>
            </w:pPr>
            <w:r>
              <w:t xml:space="preserve">Upstream Materials &amp; Packaging</w:t>
            </w:r>
          </w:p>
        </w:tc>
        <w:tc>
          <w:tcPr/>
          <w:p>
            <w:pPr>
              <w:pStyle w:val="Compact"/>
              <w:jc w:val="left"/>
            </w:pPr>
            <w:r>
              <w:t xml:space="preserve">3.019</w:t>
            </w:r>
          </w:p>
        </w:tc>
        <w:tc>
          <w:tcPr/>
          <w:p>
            <w:pPr>
              <w:pStyle w:val="Compact"/>
              <w:jc w:val="left"/>
            </w:pPr>
            <w:r>
              <w:t xml:space="preserve">40.66%</w:t>
            </w:r>
          </w:p>
        </w:tc>
      </w:tr>
      <w:tr>
        <w:tc>
          <w:tcPr>
            <w:gridSpan w:val="1"/>
            <w:vMerge w:val="continue"/>
          </w:tcPr>
          <w:p>
            <w:pPr/>
          </w:p>
        </w:tc>
        <w:tc>
          <w:tcPr/>
          <w:p>
            <w:pPr>
              <w:pStyle w:val="Compact"/>
              <w:jc w:val="left"/>
            </w:pPr>
            <w:r>
              <w:t xml:space="preserve">Transport &amp; Distribution</w:t>
            </w:r>
          </w:p>
        </w:tc>
        <w:tc>
          <w:tcPr/>
          <w:p>
            <w:pPr>
              <w:pStyle w:val="Compact"/>
              <w:jc w:val="left"/>
            </w:pPr>
            <w:r>
              <w:t xml:space="preserve">0.086</w:t>
            </w:r>
          </w:p>
        </w:tc>
        <w:tc>
          <w:tcPr/>
          <w:p>
            <w:pPr>
              <w:pStyle w:val="Compact"/>
              <w:jc w:val="left"/>
            </w:pPr>
            <w:r>
              <w:t xml:space="preserve">1.16%</w:t>
            </w:r>
          </w:p>
        </w:tc>
      </w:tr>
      <w:tr>
        <w:tc>
          <w:tcPr>
            <w:gridSpan w:val="1"/>
            <w:vMerge w:val="continue"/>
          </w:tcPr>
          <w:p>
            <w:pPr/>
          </w:p>
        </w:tc>
        <w:tc>
          <w:tcPr/>
          <w:p>
            <w:pPr>
              <w:pStyle w:val="Compact"/>
              <w:jc w:val="left"/>
            </w:pPr>
            <w:r>
              <w:t xml:space="preserve">Use Phase</w:t>
            </w:r>
          </w:p>
        </w:tc>
        <w:tc>
          <w:tcPr/>
          <w:p>
            <w:pPr>
              <w:pStyle w:val="Compact"/>
              <w:jc w:val="left"/>
            </w:pPr>
            <w:r>
              <w:t xml:space="preserve">3.750</w:t>
            </w:r>
          </w:p>
        </w:tc>
        <w:tc>
          <w:tcPr/>
          <w:p>
            <w:pPr>
              <w:pStyle w:val="Compact"/>
              <w:jc w:val="left"/>
            </w:pPr>
            <w:r>
              <w:t xml:space="preserve">50.51%</w:t>
            </w:r>
          </w:p>
        </w:tc>
      </w:tr>
      <w:tr>
        <w:tc>
          <w:tcPr>
            <w:gridSpan w:val="1"/>
            <w:vMerge w:val="continue"/>
          </w:tcPr>
          <w:p>
            <w:pPr/>
          </w:p>
        </w:tc>
        <w:tc>
          <w:tcPr/>
          <w:p>
            <w:pPr>
              <w:pStyle w:val="Compact"/>
              <w:jc w:val="left"/>
            </w:pPr>
            <w:r>
              <w:t xml:space="preserve">End-of-Life Treatment (Net)</w:t>
            </w:r>
          </w:p>
        </w:tc>
        <w:tc>
          <w:tcPr/>
          <w:p>
            <w:pPr>
              <w:pStyle w:val="Compact"/>
              <w:jc w:val="left"/>
            </w:pPr>
            <w:r>
              <w:t xml:space="preserve">-0.156</w:t>
            </w:r>
          </w:p>
        </w:tc>
        <w:tc>
          <w:tcPr/>
          <w:p>
            <w:pPr>
              <w:pStyle w:val="Compact"/>
              <w:jc w:val="left"/>
            </w:pPr>
            <w:r>
              <w:t xml:space="preserve">-2.10%</w:t>
            </w:r>
          </w:p>
        </w:tc>
      </w:tr>
      <w:tr>
        <w:tc>
          <w:tcPr>
            <w:gridSpan w:val="2"/>
          </w:tcPr>
          <w:p>
            <w:pPr>
              <w:pStyle w:val="Compact"/>
              <w:jc w:val="right"/>
            </w:pPr>
            <w:r>
              <w:t xml:space="preserve">TOTAL PCF (kgCO2e/unit)</w:t>
            </w:r>
          </w:p>
        </w:tc>
        <w:tc>
          <w:tcPr/>
          <w:p>
            <w:pPr>
              <w:pStyle w:val="Compact"/>
              <w:jc w:val="left"/>
            </w:pPr>
            <w:r>
              <w:t xml:space="preserve">7.074</w:t>
            </w:r>
          </w:p>
        </w:tc>
        <w:tc>
          <w:tcPr/>
          <w:p>
            <w:pPr>
              <w:pStyle w:val="Compact"/>
              <w:jc w:val="left"/>
            </w:pPr>
            <w:r>
              <w:t xml:space="preserve">100.00%</w:t>
            </w:r>
          </w:p>
        </w:tc>
      </w:tr>
    </w:tbl>
    <w:p>
      <w:pPr>
        <w:pStyle w:val="BodyText"/>
      </w:pPr>
      <w:r>
        <w:rPr>
          <w:iCs/>
          <w:i/>
        </w:rPr>
        <w:t xml:space="preserve">Total PCF calculated: 0.000 (Scope 1) + 0.375 (Scope 2) + 3.019 (Scope 3 Upstream) + 0.086 (Scope 3 Transport) + 3.750 (Scope 3 Use) - 0.156 (Scope 3 EoL) = 7.074 kgCO2e/unit.</w:t>
      </w:r>
    </w:p>
    <w:p>
      <w:pPr>
        <w:pStyle w:val="BodyText"/>
      </w:pPr>
      <w:r>
        <w:rPr>
          <w:bCs/>
          <w:b/>
        </w:rPr>
        <w:t xml:space="preserve">Scope 3 Compliance:</w:t>
      </w:r>
      <w:r>
        <w:t xml:space="preserve"> </w:t>
      </w:r>
      <w:r>
        <w:t xml:space="preserve">The illustrative calculation shows Scope 3 emissions contributing (3.019 + 0.086 + 3.750 - 0.156) / 7.074 = 6.699 / 7.074 = 94.69% of the total footprint. For strict 95% compliance as per 2026 requirements, additional minor Scope 3 categories would need to be considered or more detailed data collected to reach the threshold. This demonstrates the high coverage of the current analysis.</w:t>
      </w:r>
    </w:p>
    <w:p>
      <w:r>
        <w:pict>
          <v:rect style="width:0;height:1.5pt" o:hralign="center" o:hrstd="t" o:hr="t"/>
        </w:pict>
      </w:r>
    </w:p>
    <w:bookmarkEnd w:id="37"/>
    <w:bookmarkEnd w:id="38"/>
    <w:bookmarkStart w:id="43" w:name="review-report"/>
    <w:p>
      <w:pPr>
        <w:pStyle w:val="Heading2"/>
      </w:pPr>
      <w:r>
        <w:t xml:space="preserve">5. Review &amp; Report</w:t>
      </w:r>
    </w:p>
    <w:bookmarkStart w:id="39" w:name="key-findings-and-hotspots"/>
    <w:p>
      <w:pPr>
        <w:pStyle w:val="Heading3"/>
      </w:pPr>
      <w:r>
        <w:t xml:space="preserve">Key Findings and Hotspots</w:t>
      </w:r>
    </w:p>
    <w:p>
      <w:pPr>
        <w:pStyle w:val="FirstParagraph"/>
      </w:pPr>
      <w:r>
        <w:t xml:space="preserve">Based on the illustrative analysis, the primary emission hotspots for xyvxdkmmhf are:</w:t>
      </w:r>
    </w:p>
    <w:p>
      <w:pPr>
        <w:numPr>
          <w:ilvl w:val="0"/>
          <w:numId w:val="1014"/>
        </w:numPr>
        <w:pStyle w:val="Compact"/>
      </w:pPr>
      <w:r>
        <w:rPr>
          <w:bCs/>
          <w:b/>
        </w:rPr>
        <w:t xml:space="preserve">Use Phase (50.51%):</w:t>
      </w:r>
      <w:r>
        <w:t xml:space="preserve"> </w:t>
      </w:r>
      <w:r>
        <w:t xml:space="preserve">The most significant contributor, largely due to the electricity consumption over the product\'s lifespan. This highlights the critical importance of energy efficiency during product design and user behavior.</w:t>
      </w:r>
    </w:p>
    <w:p>
      <w:pPr>
        <w:numPr>
          <w:ilvl w:val="0"/>
          <w:numId w:val="1014"/>
        </w:numPr>
        <w:pStyle w:val="Compact"/>
      </w:pPr>
      <w:r>
        <w:rPr>
          <w:bCs/>
          <w:b/>
        </w:rPr>
        <w:t xml:space="preserve">Upstream Materials &amp; Packaging (40.66%):</w:t>
      </w:r>
      <w:r>
        <w:t xml:space="preserve"> </w:t>
      </w:r>
      <w:r>
        <w:t xml:space="preserve">The manufacturing of raw materials, particularly the aluminum casing and electronics, represents a substantial portion of the embodied emissions.</w:t>
      </w:r>
    </w:p>
    <w:p>
      <w:pPr>
        <w:numPr>
          <w:ilvl w:val="0"/>
          <w:numId w:val="1014"/>
        </w:numPr>
        <w:pStyle w:val="Compact"/>
      </w:pPr>
      <w:r>
        <w:rPr>
          <w:bCs/>
          <w:b/>
        </w:rPr>
        <w:t xml:space="preserve">Production Phase (Scope 2, 5.05%):</w:t>
      </w:r>
      <w:r>
        <w:t xml:space="preserve"> </w:t>
      </w:r>
      <w:r>
        <w:t xml:space="preserve">While not the largest, there\'s still a notable impact from purchased electricity, even with 75% renewable energy usage. The remaining 25% from grid electricity in China still carries a significant emission factor.</w:t>
      </w:r>
    </w:p>
    <w:p>
      <w:pPr>
        <w:numPr>
          <w:ilvl w:val="0"/>
          <w:numId w:val="1014"/>
        </w:numPr>
        <w:pStyle w:val="Compact"/>
      </w:pPr>
      <w:r>
        <w:rPr>
          <w:bCs/>
          <w:b/>
        </w:rPr>
        <w:t xml:space="preserve">End-of-Life Phase (-2.10%):</w:t>
      </w:r>
      <w:r>
        <w:t xml:space="preserve"> </w:t>
      </w:r>
      <w:r>
        <w:t xml:space="preserve">The high recyclability percentage and the presence of a take-back program result in a net negative impact (carbon savings) for this phase, demonstrating the positive effect of circular economy initiatives.</w:t>
      </w:r>
    </w:p>
    <w:p>
      <w:pPr>
        <w:numPr>
          <w:ilvl w:val="0"/>
          <w:numId w:val="1014"/>
        </w:numPr>
        <w:pStyle w:val="Compact"/>
      </w:pPr>
      <w:r>
        <w:rPr>
          <w:bCs/>
          <w:b/>
        </w:rPr>
        <w:t xml:space="preserve">Transport &amp; Distribution (1.16%):</w:t>
      </w:r>
      <w:r>
        <w:t xml:space="preserve"> </w:t>
      </w:r>
      <w:r>
        <w:t xml:space="preserve">Compared to other phases, logistics contribute a relatively small portion of the overall footprint, mainly due to the efficiency of ocean freight for long distances. Last-mile delivery has a proportionally higher impact per km but over shorter distances.</w:t>
      </w:r>
    </w:p>
    <w:bookmarkEnd w:id="39"/>
    <w:bookmarkStart w:id="40" w:name="reliability-and-limitations"/>
    <w:p>
      <w:pPr>
        <w:pStyle w:val="Heading3"/>
      </w:pPr>
      <w:r>
        <w:t xml:space="preserve">Reliability and Limitations</w:t>
      </w:r>
    </w:p>
    <w:p>
      <w:pPr>
        <w:pStyle w:val="FirstParagraph"/>
      </w:pPr>
      <w:r>
        <w:t xml:space="preserve">The reliability of this PCF analysis is contingent upon the accuracy and completeness of the input data. While efforts were made to use specific parameters provided and augment with industry-standard emission factors from reputable sources (e.g., Ecoinvent/DEFRA equivalents), certain limitations exist:</w:t>
      </w:r>
    </w:p>
    <w:p>
      <w:pPr>
        <w:numPr>
          <w:ilvl w:val="0"/>
          <w:numId w:val="1015"/>
        </w:numPr>
        <w:pStyle w:val="Compact"/>
      </w:pPr>
      <w:r>
        <w:rPr>
          <w:bCs/>
          <w:b/>
        </w:rPr>
        <w:t xml:space="preserve">Data Specificity:</w:t>
      </w:r>
      <w:r>
        <w:t xml:space="preserve"> </w:t>
      </w:r>
      <w:r>
        <w:t xml:space="preserve">The calculations rely on illustrative values for several parameters (e.g., `mjnhxlun`, `Select Mode`, `nwmspthuks`, `dltdyflgmy`, `sedxnqvyyl`, `hvtuuprrvm`, `oyskigrtyl`, `sqxgqvfuvp`, `drgxheqdej`) as the provided inputs were placeholders. Actual data would yield a more precise footprint.</w:t>
      </w:r>
    </w:p>
    <w:p>
      <w:pPr>
        <w:numPr>
          <w:ilvl w:val="0"/>
          <w:numId w:val="1015"/>
        </w:numPr>
        <w:pStyle w:val="Compact"/>
      </w:pPr>
      <w:r>
        <w:rPr>
          <w:bCs/>
          <w:b/>
        </w:rPr>
        <w:t xml:space="preserve">Emission Factor Database:</w:t>
      </w:r>
      <w:r>
        <w:t xml:space="preserve"> </w:t>
      </w:r>
      <w:r>
        <w:t xml:space="preserve">Generic emission factors were used where specific supplier-provided (primary) data was unavailable. While representative of typical processes, actual emissions could vary significantly based on specific regional energy mixes, transport efficiencies, and waste management practices.</w:t>
      </w:r>
    </w:p>
    <w:p>
      <w:pPr>
        <w:numPr>
          <w:ilvl w:val="0"/>
          <w:numId w:val="1015"/>
        </w:numPr>
        <w:pStyle w:val="Compact"/>
      </w:pPr>
      <w:r>
        <w:rPr>
          <w:bCs/>
          <w:b/>
        </w:rPr>
        <w:t xml:space="preserve">System Boundary:</w:t>
      </w:r>
      <w:r>
        <w:t xml:space="preserve"> </w:t>
      </w:r>
      <w:r>
        <w:t xml:space="preserve">While comprehensive, certain minor upstream or downstream processes might be excluded if data availability is extremely low (e.g., office energy consumption related to product design).</w:t>
      </w:r>
    </w:p>
    <w:bookmarkEnd w:id="40"/>
    <w:bookmarkStart w:id="42" w:name="recommendations-for-plpovrwzor"/>
    <w:p>
      <w:pPr>
        <w:pStyle w:val="Heading3"/>
      </w:pPr>
      <w:r>
        <w:t xml:space="preserve">Recommendations for plpovrwzor</w:t>
      </w:r>
    </w:p>
    <w:p>
      <w:pPr>
        <w:pStyle w:val="FirstParagraph"/>
      </w:pPr>
      <w:r>
        <w:t xml:space="preserve">To further reduce the environmental impact of xyvxdkmmhf and enhance sustainability performance, plpovrwzor should consider the following:</w:t>
      </w:r>
    </w:p>
    <w:p>
      <w:pPr>
        <w:numPr>
          <w:ilvl w:val="0"/>
          <w:numId w:val="1016"/>
        </w:numPr>
        <w:pStyle w:val="Compact"/>
      </w:pPr>
      <w:r>
        <w:rPr>
          <w:bCs/>
          <w:b/>
        </w:rPr>
        <w:t xml:space="preserve">Product Design for Energy Efficiency:</w:t>
      </w:r>
      <w:r>
        <w:t xml:space="preserve"> </w:t>
      </w:r>
      <w:r>
        <w:t xml:space="preserve">Focus on engineering improvements to reduce energy consumption during the product\'s use phase, which is currently the largest hotspot.</w:t>
      </w:r>
    </w:p>
    <w:p>
      <w:pPr>
        <w:numPr>
          <w:ilvl w:val="0"/>
          <w:numId w:val="1016"/>
        </w:numPr>
        <w:pStyle w:val="Compact"/>
      </w:pPr>
      <w:r>
        <w:rPr>
          <w:bCs/>
          <w:b/>
        </w:rPr>
        <w:t xml:space="preserve">Sustainable Material Sourcing:</w:t>
      </w:r>
      <w:r>
        <w:t xml:space="preserve"> </w:t>
      </w:r>
      <w:r>
        <w:t xml:space="preserve">Investigate opportunities for lower-carbon materials for the aluminum casing and PCB assembly. Explore recycled content or bio-based alternatives where feasible.</w:t>
      </w:r>
    </w:p>
    <w:p>
      <w:pPr>
        <w:numPr>
          <w:ilvl w:val="0"/>
          <w:numId w:val="1016"/>
        </w:numPr>
        <w:pStyle w:val="Compact"/>
      </w:pPr>
      <w:r>
        <w:rPr>
          <w:bCs/>
          <w:b/>
        </w:rPr>
        <w:t xml:space="preserve">Enhance Renewable Energy Adoption:</w:t>
      </w:r>
      <w:r>
        <w:t xml:space="preserve"> </w:t>
      </w:r>
      <w:r>
        <w:t xml:space="preserve">Increase the percentage of renewable energy used in manufacturing beyond the current 75%, aiming for 100% renewable electricity procurement.</w:t>
      </w:r>
    </w:p>
    <w:p>
      <w:pPr>
        <w:numPr>
          <w:ilvl w:val="0"/>
          <w:numId w:val="1016"/>
        </w:numPr>
        <w:pStyle w:val="Compact"/>
      </w:pPr>
      <w:r>
        <w:rPr>
          <w:bCs/>
          <w:b/>
        </w:rPr>
        <w:t xml:space="preserve">Optimize Logistics:</w:t>
      </w:r>
      <w:r>
        <w:t xml:space="preserve"> </w:t>
      </w:r>
      <w:r>
        <w:t xml:space="preserve">While transport is a smaller contributor, further optimization of routes, consolidation of shipments, and exploration of lower-emission last-mile delivery options can yield additional savings.</w:t>
      </w:r>
    </w:p>
    <w:p>
      <w:pPr>
        <w:numPr>
          <w:ilvl w:val="0"/>
          <w:numId w:val="1016"/>
        </w:numPr>
        <w:pStyle w:val="Compact"/>
      </w:pPr>
      <w:r>
        <w:rPr>
          <w:bCs/>
          <w:b/>
        </w:rPr>
        <w:t xml:space="preserve">Expand Circularity Initiatives:</w:t>
      </w:r>
      <w:r>
        <w:t xml:space="preserve"> </w:t>
      </w:r>
      <w:r>
        <w:t xml:space="preserve">Leverage the existing take-back program (drgxheqdej) to ensure high return rates and explore avenues for remanufacturing or component reuse in addition to recycling.</w:t>
      </w:r>
    </w:p>
    <w:p>
      <w:pPr>
        <w:numPr>
          <w:ilvl w:val="0"/>
          <w:numId w:val="1016"/>
        </w:numPr>
        <w:pStyle w:val="Compact"/>
      </w:pPr>
      <w:r>
        <w:rPr>
          <w:bCs/>
          <w:b/>
        </w:rPr>
        <w:t xml:space="preserve">Supplier Engagement:</w:t>
      </w:r>
      <w:r>
        <w:t xml:space="preserve"> </w:t>
      </w:r>
      <w:r>
        <w:t xml:space="preserve">Work with key suppliers to obtain primary emission data for purchased goods and services to improve the accuracy of Scope 3 reporting and identify collaborative reduction opportunities.</w:t>
      </w:r>
    </w:p>
    <w:p>
      <w:r>
        <w:pict>
          <v:rect style="width:0;height:1.5pt" o:hralign="center" o:hrstd="t" o:hr="t"/>
        </w:pict>
      </w:r>
    </w:p>
    <w:p>
      <w:pPr>
        <w:pStyle w:val="FirstParagraph"/>
      </w:pPr>
      <w:r>
        <w:t xml:space="preserve">Confidential - Internal Use Only | Page</w:t>
      </w:r>
      <w:r>
        <w:t xml:space="preserve"> </w:t>
      </w:r>
      <w:bookmarkStart w:id="41" w:name="pageNumber"/>
      <w:r>
        <w:t xml:space="preserve">1 (Illustrative)</w:t>
      </w:r>
      <w:bookmarkEnd w:id="41"/>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xyvxdkmmhf</dc:title>
  <dc:creator/>
  <dc:description>Detailed Product Carbon Footprint (PCF) analysis report for xyvxdkmmhf, conducted by jnxdxgldzd for plpovrwzor, adhering to GHG Protocol standards and 2026 LSR updates.</dc:description>
  <dc:language>en</dc:language>
  <cp:keywords/>
  <dcterms:created xsi:type="dcterms:W3CDTF">2026-07-15T01:39:33Z</dcterms:created>
  <dcterms:modified xsi:type="dcterms:W3CDTF">2026-07-15T01:39:33Z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