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xytswiprko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xytswiprko</w:t>
      </w:r>
    </w:p>
    <w:p>
      <w:pPr>
        <w:pStyle w:val="BodyText"/>
      </w:pPr>
      <w:r>
        <w:rPr>
          <w:bCs/>
          <w:b/>
        </w:rPr>
        <w:t xml:space="preserve">Company:</w:t>
      </w:r>
      <w:r>
        <w:t xml:space="preserve"> </w:t>
      </w:r>
      <w:r>
        <w:t xml:space="preserve">tsyumhmhyi</w:t>
      </w:r>
    </w:p>
    <w:p>
      <w:pPr>
        <w:pStyle w:val="BodyText"/>
      </w:pPr>
      <w:r>
        <w:rPr>
          <w:bCs/>
          <w:b/>
        </w:rPr>
        <w:t xml:space="preserve">Senior Sustainability Consultant:</w:t>
      </w:r>
      <w:r>
        <w:t xml:space="preserve"> </w:t>
      </w:r>
      <w:r>
        <w:t xml:space="preserve">gtpriqfkwv</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specific conditions and evolving data may lead to variations. This document is for informational purposes and internal use unless otherwise specified.</w:t>
      </w:r>
    </w:p>
    <w:p>
      <w:pPr>
        <w:pStyle w:val="BodyText"/>
      </w:pPr>
      <w:r>
        <w:t xml:space="preserve">Generated Date: May 16, 2026</w:t>
      </w:r>
    </w:p>
    <w:bookmarkEnd w:id="20"/>
    <w:bookmarkStart w:id="21" w:name="X7be59327ee5e91de82f6251cf6e10c15366a0ef"/>
    <w:p>
      <w:pPr>
        <w:pStyle w:val="Heading1"/>
      </w:pPr>
      <w:r>
        <w:t xml:space="preserve">Product Carbon Footprint Analysis Report for xytswiprko</w:t>
      </w:r>
    </w:p>
    <w:p>
      <w:pPr>
        <w:pStyle w:val="FirstParagraph"/>
      </w:pPr>
      <w:r>
        <w:t xml:space="preserve">Generated Date: May 16,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xytswiprko, manufactured by tsyumhmhyi. The analysis was conducted by Senior Sustainability Consultant gtpriqfkwv, adhering strictly to the GHG Protocol standards, including recent updates for Land Sector and Removals (LSR) and enhanced Scope 3 compliance requirements for 2026. The objective is to quantify the greenhouse gas (GHG) emissions associated with xytswiprko across its entire lifecycle, from raw material extraction to end-of-life, on a \'Cradle-to-Grave\' basis. The total Product Carbon Footprint for one functional unit of xytswiprko is estimated to be approximately 31.31 kg CO2e. The use phase is identified as the most significant contributor to the overall footprint, highlighting key areas for emission reduction strategies.</w:t>
      </w:r>
    </w:p>
    <w:p>
      <w:r>
        <w:pict>
          <v:rect style="width:0;height:1.5pt" o:hralign="center" o:hrstd="t" o:hr="t"/>
        </w:pict>
      </w:r>
    </w:p>
    <w:bookmarkEnd w:id="22"/>
    <w:bookmarkStart w:id="28" w:name="defining-the-scope-of-analysis"/>
    <w:p>
      <w:pPr>
        <w:pStyle w:val="Heading2"/>
      </w:pPr>
      <w:r>
        <w:t xml:space="preserve">1. Defining the Scope of Analysis</w:t>
      </w:r>
    </w:p>
    <w:p>
      <w:pPr>
        <w:pStyle w:val="FirstParagraph"/>
      </w:pPr>
      <w:r>
        <w:t xml:space="preserve">The first step in any robust carbon footprint assessment is to clearly define the boundaries and parameters of the study.</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xytswiprko</w:t>
      </w:r>
      <w:r>
        <w:t xml:space="preserve">. All emissions are calculated and expressed relative to this unit.</w:t>
      </w:r>
    </w:p>
    <w:bookmarkEnd w:id="23"/>
    <w:bookmarkStart w:id="24" w:name="system-boundary"/>
    <w:p>
      <w:pPr>
        <w:pStyle w:val="Heading3"/>
      </w:pPr>
      <w:r>
        <w:t xml:space="preserve">1.2. System Boundary</w:t>
      </w:r>
    </w:p>
    <w:p>
      <w:pPr>
        <w:pStyle w:val="FirstParagraph"/>
      </w:pPr>
      <w:r>
        <w:t xml:space="preserve">The system boundary adopted for this analysis is</w:t>
      </w:r>
      <w:r>
        <w:t xml:space="preserve"> </w:t>
      </w:r>
      <w:r>
        <w:rPr>
          <w:bCs/>
          <w:b/>
        </w:rPr>
        <w:t xml:space="preserve">\'Cradle-to-Grave\'</w:t>
      </w:r>
      <w:r>
        <w:t xml:space="preserve">. This comprehensive approach encompasses all lifecycle stages of the product: raw material acquisition and processing, manufacturing, transportation (upstream and downstream), the product\'s use phase, and its end-of-life treatment. While the initial parameter specified "factory_gate", the inclusion of detailed requirements for Use Phase and End-of-Life necessitates an expansion to a full Cradle-to-Grave assessment to accurately capture the complete environmental impact of the product.</w:t>
      </w:r>
    </w:p>
    <w:bookmarkEnd w:id="24"/>
    <w:bookmarkStart w:id="25" w:name="geographic-scope"/>
    <w:p>
      <w:pPr>
        <w:pStyle w:val="Heading3"/>
      </w:pPr>
      <w:r>
        <w:t xml:space="preserve">1.3. Geographic Scope</w:t>
      </w:r>
    </w:p>
    <w:p>
      <w:pPr>
        <w:pStyle w:val="FirstParagraph"/>
      </w:pPr>
      <w:r>
        <w:t xml:space="preserve">The geographic scope of this PCF analysis is defined by the</w:t>
      </w:r>
      <w:r>
        <w:t xml:space="preserve"> </w:t>
      </w:r>
      <w:r>
        <w:rPr>
          <w:bCs/>
          <w:b/>
        </w:rPr>
        <w:t xml:space="preserve">Final Production Country: China</w:t>
      </w:r>
      <w:r>
        <w:t xml:space="preserve">. The</w:t>
      </w:r>
      <w:r>
        <w:t xml:space="preserve"> </w:t>
      </w:r>
      <w:r>
        <w:rPr>
          <w:bCs/>
          <w:b/>
        </w:rPr>
        <w:t xml:space="preserve">Supply Chain Focus is Europe Focused</w:t>
      </w:r>
      <w:r>
        <w:t xml:space="preserve">, implying that many upstream components or raw materials may originate from or transit through Europe before reaching the manufacturing facility in China. Product distribution is assumed to be from China to the European market, reflecting a global supply chain.</w:t>
      </w:r>
    </w:p>
    <w:bookmarkEnd w:id="25"/>
    <w:bookmarkStart w:id="26" w:name="allocation"/>
    <w:p>
      <w:pPr>
        <w:pStyle w:val="Heading3"/>
      </w:pPr>
      <w:r>
        <w:t xml:space="preserve">1.4. Allocation</w:t>
      </w:r>
    </w:p>
    <w:p>
      <w:pPr>
        <w:pStyle w:val="FirstParagraph"/>
      </w:pPr>
      <w:r>
        <w:t xml:space="preserve">Emissions are allocated directly to the functional unit based on material quantities, energy consumption, and transport distances directly attributable to the production and lifecycle of one unit of xytswiprko. Co-product and by-product allocations, if applicable, would follow GHG Protocol guidance to ensure emissions relate solely to the product under analysis.</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 **GHG Protocol** standards, particularly the Product Standard and the Corporate Value Chain (Scope 3) Accounting and Reporting Standard.</w:t>
      </w:r>
    </w:p>
    <w:p>
      <w:r>
        <w:pict>
          <v:rect style="width:0;height:1.5pt" o:hralign="center" o:hrstd="t" o:hr="t"/>
        </w:pict>
      </w:r>
    </w:p>
    <w:bookmarkEnd w:id="27"/>
    <w:bookmarkEnd w:id="28"/>
    <w:bookmarkStart w:id="29" w:name="X8df143d276c703dd53c23442d22b6472e0a1953"/>
    <w:p>
      <w:pPr>
        <w:pStyle w:val="Heading2"/>
      </w:pPr>
      <w:r>
        <w:t xml:space="preserve">2. Mapping the Product Lifecycle (LCI Inventory Stages)</w:t>
      </w:r>
    </w:p>
    <w:p>
      <w:pPr>
        <w:pStyle w:val="FirstParagraph"/>
      </w:pPr>
      <w:r>
        <w:t xml:space="preserve">The lifecycle of xytswiprko is broken down into the following key stages, allowing for a detailed inventory of inputs and outputs relevant to greenhouse gas emissions:</w:t>
      </w:r>
    </w:p>
    <w:p>
      <w:pPr>
        <w:numPr>
          <w:ilvl w:val="0"/>
          <w:numId w:val="1001"/>
        </w:numPr>
        <w:pStyle w:val="Compact"/>
      </w:pPr>
      <w:r>
        <w:t xml:space="preserve">**Materials Acquisition &amp; Pre-processing:** Extraction, production, and initial processing of all raw materials and components comprising xytswiprko.</w:t>
      </w:r>
    </w:p>
    <w:p>
      <w:pPr>
        <w:numPr>
          <w:ilvl w:val="0"/>
          <w:numId w:val="1001"/>
        </w:numPr>
        <w:pStyle w:val="Compact"/>
      </w:pPr>
      <w:r>
        <w:t xml:space="preserve">**Manufacturing/Production:** Assembly and finishing processes at the factory, including energy consumption for machinery and facility operations.</w:t>
      </w:r>
    </w:p>
    <w:p>
      <w:pPr>
        <w:numPr>
          <w:ilvl w:val="0"/>
          <w:numId w:val="1001"/>
        </w:numPr>
        <w:pStyle w:val="Compact"/>
      </w:pPr>
      <w:r>
        <w:t xml:space="preserve">**Transportation (Upstream):** Transport of raw materials and components from suppliers (Europe-focused supply chain) to the manufacturing facility in China.</w:t>
      </w:r>
    </w:p>
    <w:p>
      <w:pPr>
        <w:numPr>
          <w:ilvl w:val="0"/>
          <w:numId w:val="1001"/>
        </w:numPr>
        <w:pStyle w:val="Compact"/>
      </w:pPr>
      <w:r>
        <w:t xml:space="preserve">**Transportation (Downstream):** Distribution of the finished product from the factory in China to the end customer in Europe, including last-mile delivery.</w:t>
      </w:r>
    </w:p>
    <w:p>
      <w:pPr>
        <w:numPr>
          <w:ilvl w:val="0"/>
          <w:numId w:val="1001"/>
        </w:numPr>
        <w:pStyle w:val="Compact"/>
      </w:pPr>
      <w:r>
        <w:t xml:space="preserve">**Use Phase:** Energy consumption and other impacts during the typical lifespan of the product by the end-user.</w:t>
      </w:r>
    </w:p>
    <w:p>
      <w:pPr>
        <w:numPr>
          <w:ilvl w:val="0"/>
          <w:numId w:val="1001"/>
        </w:numPr>
        <w:pStyle w:val="Compact"/>
      </w:pPr>
      <w:r>
        <w:t xml:space="preserve">**End-of-Life (EoL):** Treatment of the product at the end of its functional life, including disposal (landfilling, incineration) and recycling processes.</w:t>
      </w:r>
    </w:p>
    <w:p>
      <w:r>
        <w:pict>
          <v:rect style="width:0;height:1.5pt" o:hralign="center" o:hrstd="t" o:hr="t"/>
        </w:pict>
      </w:r>
    </w:p>
    <w:bookmarkEnd w:id="29"/>
    <w:bookmarkStart w:id="35" w:name="X7b6d01ce7b6bfe45f00681616505557cddf238f"/>
    <w:p>
      <w:pPr>
        <w:pStyle w:val="Heading2"/>
      </w:pPr>
      <w:r>
        <w:t xml:space="preserve">3. Data Collection (Primary/Secondary Data Points)</w:t>
      </w:r>
    </w:p>
    <w:p>
      <w:pPr>
        <w:pStyle w:val="FirstParagraph"/>
      </w:pPr>
      <w:r>
        <w:t xml:space="preserve">Data was collected and estimated using a combination of provided client parameters and industry-standard emission factors where specific data was unavailable. For the purpose of this report, where explicit numerical values for parameters like BOM, distances, or energy consumption were not provided as direct numbers (e.g., \'dlyuphhp\' instead of a list of materials), illustrative but realistic values have been assumed to demonstrate the calculation methodology. These assumptions are clearly stated.</w:t>
      </w:r>
    </w:p>
    <w:bookmarkStart w:id="30" w:name="detailed-bill-of-materials-bom"/>
    <w:p>
      <w:pPr>
        <w:pStyle w:val="Heading3"/>
      </w:pPr>
      <w:r>
        <w:t xml:space="preserve">3.1. Detailed Bill of Materials (BOM)</w:t>
      </w:r>
    </w:p>
    <w:p>
      <w:pPr>
        <w:pStyle w:val="FirstParagraph"/>
      </w:pPr>
      <w:r>
        <w:t xml:space="preserve">The following detailed Bill of Materials (BOM) for xytswiprko (derived from client input \'dlyuphhp\') provides the foundation for material impact calculations. The \'Total Carbon\' values represent the pre-calculated embodied emissions for each material, including extraction and initial processing.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or kg CO2e/kg)</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102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w:t>
            </w:r>
          </w:p>
        </w:tc>
        <w:tc>
          <w:tcPr/>
          <w:p>
            <w:pPr>
              <w:pStyle w:val="Compact"/>
              <w:jc w:val="left"/>
            </w:pPr>
            <w:r>
              <w:t xml:space="preserve">0.36</w:t>
            </w:r>
          </w:p>
        </w:tc>
      </w:tr>
      <w:tr>
        <w:tc>
          <w:tcPr/>
          <w:p>
            <w:pPr>
              <w:pStyle w:val="Compact"/>
              <w:jc w:val="left"/>
            </w:pPr>
            <w:r>
              <w:t xml:space="preserve">103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gridSpan w:val="7"/>
          </w:tcPr>
          <w:p>
            <w:pPr>
              <w:pStyle w:val="Compact"/>
              <w:jc w:val="left"/>
            </w:pPr>
            <w:r>
              <w:t xml:space="preserve">Total Material Embodied Carbon</w:t>
            </w:r>
          </w:p>
        </w:tc>
        <w:tc>
          <w:tcPr/>
          <w:p>
            <w:pPr>
              <w:pStyle w:val="Compact"/>
              <w:jc w:val="left"/>
            </w:pPr>
            <w:r>
              <w:t xml:space="preserve">3.35</w:t>
            </w:r>
          </w:p>
        </w:tc>
      </w:tr>
    </w:tbl>
    <w:p>
      <w:pPr>
        <w:pStyle w:val="BodyText"/>
      </w:pPr>
      <w:r>
        <w:rPr>
          <w:iCs/>
          <w:i/>
        </w:rPr>
        <w:t xml:space="preserve">Note: The "Total Carbon" values in the BOM are used directly for the Material Acquisition &amp; Processing stage.</w:t>
      </w:r>
    </w:p>
    <w:bookmarkEnd w:id="30"/>
    <w:bookmarkStart w:id="31" w:name="production-energy-data"/>
    <w:p>
      <w:pPr>
        <w:pStyle w:val="Heading3"/>
      </w:pPr>
      <w:r>
        <w:t xml:space="preserve">3.2. Production Energy Data</w:t>
      </w:r>
    </w:p>
    <w:p>
      <w:pPr>
        <w:numPr>
          <w:ilvl w:val="0"/>
          <w:numId w:val="1002"/>
        </w:numPr>
        <w:pStyle w:val="Compact"/>
      </w:pPr>
      <w:r>
        <w:rPr>
          <w:bCs/>
          <w:b/>
        </w:rPr>
        <w:t xml:space="preserve">Energy Intensity (kWh/unit):</w:t>
      </w:r>
      <w:r>
        <w:t xml:space="preserve"> </w:t>
      </w:r>
      <w:r>
        <w:t xml:space="preserve">meyjienves (e.g., 5 kWh/unit, assumed for calculation).</w:t>
      </w:r>
    </w:p>
    <w:p>
      <w:pPr>
        <w:numPr>
          <w:ilvl w:val="0"/>
          <w:numId w:val="1002"/>
        </w:numPr>
        <w:pStyle w:val="Compact"/>
      </w:pPr>
      <w:r>
        <w:rPr>
          <w:bCs/>
          <w:b/>
        </w:rPr>
        <w:t xml:space="preserve">Renewable Energy Usage:</w:t>
      </w:r>
      <w:r>
        <w:t xml:space="preserve"> </w:t>
      </w:r>
      <w:r>
        <w:t xml:space="preserve">ejoqhyjvwu (e.g., 70% Renewable Electricity, assumed for calculation).</w:t>
      </w:r>
    </w:p>
    <w:p>
      <w:pPr>
        <w:numPr>
          <w:ilvl w:val="0"/>
          <w:numId w:val="1002"/>
        </w:numPr>
        <w:pStyle w:val="Compact"/>
      </w:pPr>
      <w:r>
        <w:rPr>
          <w:bCs/>
          <w:b/>
        </w:rPr>
        <w:t xml:space="preserve">Electricity Grid Emission Factor (China):</w:t>
      </w:r>
      <w:r>
        <w:t xml:space="preserve"> </w:t>
      </w:r>
      <w:r>
        <w:t xml:space="preserve">An average emission factor of 0.60 kg CO2e/kWh is used for non-renewable electricity consumption in China.</w:t>
      </w:r>
    </w:p>
    <w:bookmarkEnd w:id="31"/>
    <w:bookmarkStart w:id="32" w:name="logistics-data"/>
    <w:p>
      <w:pPr>
        <w:pStyle w:val="Heading3"/>
      </w:pPr>
      <w:r>
        <w:t xml:space="preserve">3.3. Logistics Data</w:t>
      </w:r>
    </w:p>
    <w:p>
      <w:pPr>
        <w:numPr>
          <w:ilvl w:val="0"/>
          <w:numId w:val="1003"/>
        </w:numPr>
        <w:pStyle w:val="Compact"/>
      </w:pPr>
      <w:r>
        <w:rPr>
          <w:bCs/>
          <w:b/>
        </w:rPr>
        <w:t xml:space="preserve">Transport Mode (\'Select Mode\'):</w:t>
      </w:r>
    </w:p>
    <w:p>
      <w:pPr>
        <w:numPr>
          <w:ilvl w:val="1"/>
          <w:numId w:val="1004"/>
        </w:numPr>
        <w:pStyle w:val="Compact"/>
      </w:pPr>
      <w:r>
        <w:rPr>
          <w:bCs/>
          <w:b/>
        </w:rPr>
        <w:t xml:space="preserve">Upstream (Components to Factory):</w:t>
      </w:r>
      <w:r>
        <w:t xml:space="preserve"> </w:t>
      </w:r>
      <w:r>
        <w:t xml:space="preserve">Assumed Road Freight (Heavy Duty) from European suppliers to port, followed by Ocean Freight to China.</w:t>
      </w:r>
    </w:p>
    <w:p>
      <w:pPr>
        <w:numPr>
          <w:ilvl w:val="1"/>
          <w:numId w:val="1004"/>
        </w:numPr>
        <w:pStyle w:val="Compact"/>
      </w:pPr>
      <w:r>
        <w:rPr>
          <w:bCs/>
          <w:b/>
        </w:rPr>
        <w:t xml:space="preserve">Downstream (Product to Customer):</w:t>
      </w:r>
      <w:r>
        <w:t xml:space="preserve"> </w:t>
      </w:r>
      <w:r>
        <w:t xml:space="preserve">Assumed Ocean Freight from China to Europe, followed by Road Freight (Light Commercial) for last-mile delivery.</w:t>
      </w:r>
    </w:p>
    <w:p>
      <w:pPr>
        <w:numPr>
          <w:ilvl w:val="0"/>
          <w:numId w:val="1003"/>
        </w:numPr>
        <w:pStyle w:val="Compact"/>
      </w:pPr>
      <w:r>
        <w:rPr>
          <w:bCs/>
          <w:b/>
        </w:rPr>
        <w:t xml:space="preserve">Transport Distance (\'ltkejoxwdp\'):</w:t>
      </w:r>
    </w:p>
    <w:p>
      <w:pPr>
        <w:numPr>
          <w:ilvl w:val="1"/>
          <w:numId w:val="1005"/>
        </w:numPr>
        <w:pStyle w:val="Compact"/>
      </w:pPr>
      <w:r>
        <w:rPr>
          <w:bCs/>
          <w:b/>
        </w:rPr>
        <w:t xml:space="preserve">Upstream (Illustrative):</w:t>
      </w:r>
      <w:r>
        <w:t xml:space="preserve"> </w:t>
      </w:r>
      <w:r>
        <w:t xml:space="preserve">2,000 km by road (Europe) + 10,000 km by ocean freight (Europe to China).</w:t>
      </w:r>
    </w:p>
    <w:p>
      <w:pPr>
        <w:numPr>
          <w:ilvl w:val="1"/>
          <w:numId w:val="1005"/>
        </w:numPr>
        <w:pStyle w:val="Compact"/>
      </w:pPr>
      <w:r>
        <w:rPr>
          <w:bCs/>
          <w:b/>
        </w:rPr>
        <w:t xml:space="preserve">Downstream (Illustrative):</w:t>
      </w:r>
      <w:r>
        <w:t xml:space="preserve"> </w:t>
      </w:r>
      <w:r>
        <w:t xml:space="preserve">10,000 km by ocean freight (China to Europe) + 50 km by road (last-mile in Europe).</w:t>
      </w:r>
    </w:p>
    <w:p>
      <w:pPr>
        <w:numPr>
          <w:ilvl w:val="0"/>
          <w:numId w:val="1003"/>
        </w:numPr>
        <w:pStyle w:val="Compact"/>
      </w:pPr>
      <w:r>
        <w:rPr>
          <w:bCs/>
          <w:b/>
        </w:rPr>
        <w:t xml:space="preserve">Last-Mile Delivery Channel (\'Delivery Type\'):</w:t>
      </w:r>
      <w:r>
        <w:t xml:space="preserve"> </w:t>
      </w:r>
      <w:r>
        <w:t xml:space="preserve">Assumed Road Freight (Light Commercial) for downstream.</w:t>
      </w:r>
    </w:p>
    <w:p>
      <w:pPr>
        <w:numPr>
          <w:ilvl w:val="0"/>
          <w:numId w:val="1003"/>
        </w:numPr>
        <w:pStyle w:val="Compact"/>
      </w:pPr>
      <w:r>
        <w:rPr>
          <w:bCs/>
          <w:b/>
        </w:rPr>
        <w:t xml:space="preserve">Product Weight for Transport:</w:t>
      </w:r>
      <w:r>
        <w:t xml:space="preserve"> </w:t>
      </w:r>
      <w:r>
        <w:t xml:space="preserve">Assumed 1.5 kg (0.0015 tonnes) per functional unit of xytswiprko when packaged.</w:t>
      </w:r>
    </w:p>
    <w:p>
      <w:pPr>
        <w:numPr>
          <w:ilvl w:val="0"/>
          <w:numId w:val="1003"/>
        </w:numPr>
        <w:pStyle w:val="Compact"/>
      </w:pPr>
      <w:r>
        <w:rPr>
          <w:bCs/>
          <w:b/>
        </w:rPr>
        <w:t xml:space="preserve">Emission Factors:</w:t>
      </w:r>
    </w:p>
    <w:p>
      <w:pPr>
        <w:numPr>
          <w:ilvl w:val="1"/>
          <w:numId w:val="1006"/>
        </w:numPr>
        <w:pStyle w:val="Compact"/>
      </w:pPr>
      <w:r>
        <w:t xml:space="preserve">Ocean Freight (average): 0.016 kg CO2e/tonne-km.</w:t>
      </w:r>
    </w:p>
    <w:p>
      <w:pPr>
        <w:numPr>
          <w:ilvl w:val="1"/>
          <w:numId w:val="1006"/>
        </w:numPr>
        <w:pStyle w:val="Compact"/>
      </w:pPr>
      <w:r>
        <w:t xml:space="preserve">Road Freight (Heavy Duty): 0.07 kg CO2e/tonne-km.</w:t>
      </w:r>
    </w:p>
    <w:p>
      <w:pPr>
        <w:numPr>
          <w:ilvl w:val="1"/>
          <w:numId w:val="1006"/>
        </w:numPr>
        <w:pStyle w:val="Compact"/>
      </w:pPr>
      <w:r>
        <w:t xml:space="preserve">Road Freight (Light Commercial): 0.243 kg CO2e/tonne-km.</w:t>
      </w:r>
    </w:p>
    <w:bookmarkEnd w:id="32"/>
    <w:bookmarkStart w:id="33" w:name="use-phase-data"/>
    <w:p>
      <w:pPr>
        <w:pStyle w:val="Heading3"/>
      </w:pPr>
      <w:r>
        <w:t xml:space="preserve">3.4. Use Phase Data</w:t>
      </w:r>
    </w:p>
    <w:p>
      <w:pPr>
        <w:numPr>
          <w:ilvl w:val="0"/>
          <w:numId w:val="1007"/>
        </w:numPr>
        <w:pStyle w:val="Compact"/>
      </w:pPr>
      <w:r>
        <w:rPr>
          <w:bCs/>
          <w:b/>
        </w:rPr>
        <w:t xml:space="preserve">Product Lifespan (\'fqknfmhljl\'):</w:t>
      </w:r>
      <w:r>
        <w:t xml:space="preserve"> </w:t>
      </w:r>
      <w:r>
        <w:t xml:space="preserve">fqknfmhljl (e.g., 5 years, assumed for calculation).</w:t>
      </w:r>
    </w:p>
    <w:p>
      <w:pPr>
        <w:numPr>
          <w:ilvl w:val="0"/>
          <w:numId w:val="1007"/>
        </w:numPr>
        <w:pStyle w:val="Compact"/>
      </w:pPr>
      <w:r>
        <w:rPr>
          <w:bCs/>
          <w:b/>
        </w:rPr>
        <w:t xml:space="preserve">Energy Consumption in Use (\'evrdhdyhph\'):</w:t>
      </w:r>
      <w:r>
        <w:t xml:space="preserve"> </w:t>
      </w:r>
      <w:r>
        <w:t xml:space="preserve">evrdhdyhph (e.g., 10 kWh/year, assumed for calculation).</w:t>
      </w:r>
    </w:p>
    <w:p>
      <w:pPr>
        <w:numPr>
          <w:ilvl w:val="0"/>
          <w:numId w:val="1007"/>
        </w:numPr>
        <w:pStyle w:val="Compact"/>
      </w:pPr>
      <w:r>
        <w:rPr>
          <w:bCs/>
          <w:b/>
        </w:rPr>
        <w:t xml:space="preserve">Electricity Grid Emission Factor (Use Phase):</w:t>
      </w:r>
      <w:r>
        <w:t xml:space="preserve"> </w:t>
      </w:r>
      <w:r>
        <w:t xml:space="preserve">0.60 kg CO2e/kWh (assuming use in China or a similar grid mix).</w:t>
      </w:r>
    </w:p>
    <w:bookmarkEnd w:id="33"/>
    <w:bookmarkStart w:id="34" w:name="end-of-life-eol-scenarios"/>
    <w:p>
      <w:pPr>
        <w:pStyle w:val="Heading3"/>
      </w:pPr>
      <w:r>
        <w:t xml:space="preserve">3.5. End-of-Life (EoL) Scenarios</w:t>
      </w:r>
    </w:p>
    <w:p>
      <w:pPr>
        <w:numPr>
          <w:ilvl w:val="0"/>
          <w:numId w:val="1008"/>
        </w:numPr>
        <w:pStyle w:val="Compact"/>
      </w:pPr>
      <w:r>
        <w:rPr>
          <w:bCs/>
          <w:b/>
        </w:rPr>
        <w:t xml:space="preserve">Recyclability Percentage (\'lqvtkerjmt\'):</w:t>
      </w:r>
      <w:r>
        <w:t xml:space="preserve"> </w:t>
      </w:r>
      <w:r>
        <w:t xml:space="preserve">lqvtkerjmt (e.g., 80% recyclability, assumed for calculation).</w:t>
      </w:r>
    </w:p>
    <w:p>
      <w:pPr>
        <w:numPr>
          <w:ilvl w:val="0"/>
          <w:numId w:val="1008"/>
        </w:numPr>
        <w:pStyle w:val="Compact"/>
      </w:pPr>
      <w:r>
        <w:rPr>
          <w:bCs/>
          <w:b/>
        </w:rPr>
        <w:t xml:space="preserve">Circular/Take-back Programs (\'kttxljsful\'):</w:t>
      </w:r>
      <w:r>
        <w:t xml:space="preserve"> </w:t>
      </w:r>
      <w:r>
        <w:t xml:space="preserve">kttxljsful (e.g., "Active take-back program for material recycling," acknowledged for its potential positive impact).</w:t>
      </w:r>
    </w:p>
    <w:p>
      <w:pPr>
        <w:numPr>
          <w:ilvl w:val="0"/>
          <w:numId w:val="1008"/>
        </w:numPr>
        <w:pStyle w:val="Compact"/>
      </w:pPr>
      <w:r>
        <w:rPr>
          <w:bCs/>
          <w:b/>
        </w:rPr>
        <w:t xml:space="preserve">EoL Emission Factors (Illustrative):</w:t>
      </w:r>
    </w:p>
    <w:p>
      <w:pPr>
        <w:numPr>
          <w:ilvl w:val="1"/>
          <w:numId w:val="1009"/>
        </w:numPr>
        <w:pStyle w:val="Compact"/>
      </w:pPr>
      <w:r>
        <w:t xml:space="preserve">Recycling Credit for Aluminum: -8 kg CO2e/kg (approx. 94% reduction vs. virgin).</w:t>
      </w:r>
    </w:p>
    <w:p>
      <w:pPr>
        <w:numPr>
          <w:ilvl w:val="1"/>
          <w:numId w:val="1009"/>
        </w:numPr>
        <w:pStyle w:val="Compact"/>
      </w:pPr>
      <w:r>
        <w:t xml:space="preserve">Recycling Credit for Plastic: -1.5 kg CO2e/kg (representing avoided virgin production emissions).</w:t>
      </w:r>
    </w:p>
    <w:p>
      <w:pPr>
        <w:numPr>
          <w:ilvl w:val="1"/>
          <w:numId w:val="1009"/>
        </w:numPr>
        <w:pStyle w:val="Compact"/>
      </w:pPr>
      <w:r>
        <w:t xml:space="preserve">Recycling Credit for Cardboard: -0.46 kg CO2e/kg.</w:t>
      </w:r>
    </w:p>
    <w:p>
      <w:pPr>
        <w:numPr>
          <w:ilvl w:val="1"/>
          <w:numId w:val="1009"/>
        </w:numPr>
        <w:pStyle w:val="Compact"/>
      </w:pPr>
      <w:r>
        <w:t xml:space="preserve">Disposal (Landfill): 0.1 kg CO2e/kg for non-recycled waste.</w:t>
      </w:r>
    </w:p>
    <w:p>
      <w:r>
        <w:pict>
          <v:rect style="width:0;height:1.5pt" o:hralign="center" o:hrstd="t" o:hr="t"/>
        </w:pict>
      </w:r>
    </w:p>
    <w:bookmarkEnd w:id="34"/>
    <w:bookmarkEnd w:id="35"/>
    <w:bookmarkStart w:id="47" w:name="X3720d7d0541b3a6e3c473bd4daa188ddb828856"/>
    <w:p>
      <w:pPr>
        <w:pStyle w:val="Heading2"/>
      </w:pPr>
      <w:r>
        <w:t xml:space="preserve">4. Calculating Emissions (Activity * Emission Factor = CO2e)</w:t>
      </w:r>
    </w:p>
    <w:p>
      <w:pPr>
        <w:pStyle w:val="FirstParagraph"/>
      </w:pPr>
      <w:r>
        <w:t xml:space="preserve">Emissions are calculated for each life cycle stage and categorized according to the GHG Protocol\'s Scope 1, Scope 2, and Scope 3 definitions. For this Product Carbon Footprint, the majority of emissions fall under Scope 3, as the analysis focuses on the value chain of the product rather than the direct operational emissions of the reporting company (tsyumhmhyi) if it\'s not the primary manufacturer.</w:t>
      </w:r>
    </w:p>
    <w:bookmarkStart w:id="36" w:name="ghg-protocol-scope-categorization"/>
    <w:p>
      <w:pPr>
        <w:pStyle w:val="Heading3"/>
      </w:pPr>
      <w:r>
        <w:t xml:space="preserve">4.1. GHG Protocol Scope Categorization</w:t>
      </w:r>
    </w:p>
    <w:p>
      <w:pPr>
        <w:numPr>
          <w:ilvl w:val="0"/>
          <w:numId w:val="1010"/>
        </w:numPr>
        <w:pStyle w:val="Compact"/>
      </w:pPr>
      <w:r>
        <w:t xml:space="preserve">**Scope 1 (Direct Emissions):** Emissions from sources owned or controlled by the reporting company. For a PCF of a product, if the reporting company owns the manufacturing facility, these would include direct process emissions or on-site fuel combustion. In this analysis, assuming tsyumhmhyi is the brand owner and not directly operating the manufacturing plant, direct emissions are considered part of the supplier\'s Scope 1, hence contributing to tsyumhmhyi\'s Scope 3, Category 1.</w:t>
      </w:r>
    </w:p>
    <w:p>
      <w:pPr>
        <w:numPr>
          <w:ilvl w:val="0"/>
          <w:numId w:val="1010"/>
        </w:numPr>
        <w:pStyle w:val="Compact"/>
      </w:pPr>
      <w:r>
        <w:t xml:space="preserve">**Scope 2 (Indirect Emissions from Purchased Energy):** Emissions from the generation of purchased electricity, steam, heating, and cooling consumed by the reporting company. Similar to Scope 1, if the manufacturing plant is not owned/operated by tsyumhmhyi, these would be Scope 3, Category 1.</w:t>
      </w:r>
    </w:p>
    <w:p>
      <w:pPr>
        <w:numPr>
          <w:ilvl w:val="0"/>
          <w:numId w:val="1010"/>
        </w:numPr>
        <w:pStyle w:val="Compact"/>
      </w:pPr>
      <w:r>
        <w:t xml:space="preserve">**Scope 3 (Other Indirect Emissions - Value Chain):** All other indirect emissions occurring in the value chain of the reporting company. This is the primary focus for a comprehensive PCF.</w:t>
      </w:r>
    </w:p>
    <w:p>
      <w:pPr>
        <w:numPr>
          <w:ilvl w:val="0"/>
          <w:numId w:val="1010"/>
        </w:numPr>
        <w:pStyle w:val="Compact"/>
      </w:pPr>
    </w:p>
    <w:p>
      <w:pPr>
        <w:numPr>
          <w:ilvl w:val="1"/>
          <w:numId w:val="1011"/>
        </w:numPr>
        <w:pStyle w:val="Compact"/>
      </w:pPr>
      <w:r>
        <w:t xml:space="preserve">**Category 1: Purchased Goods and Services:** Emissions from the production of purchased raw materials and components (BOM) and the energy used in the manufacturing of the product (if external supplier).</w:t>
      </w:r>
    </w:p>
    <w:p>
      <w:pPr>
        <w:numPr>
          <w:ilvl w:val="1"/>
          <w:numId w:val="1011"/>
        </w:numPr>
        <w:pStyle w:val="Compact"/>
      </w:pPr>
      <w:r>
        <w:t xml:space="preserve">**Category 4: Upstream Transportation and Distribution:** Emissions from the transportation of purchased goods and services (raw materials and components) between suppliers and the reporting company\'s operations.</w:t>
      </w:r>
    </w:p>
    <w:p>
      <w:pPr>
        <w:numPr>
          <w:ilvl w:val="1"/>
          <w:numId w:val="1011"/>
        </w:numPr>
        <w:pStyle w:val="Compact"/>
      </w:pPr>
      <w:r>
        <w:t xml:space="preserve">**Category 9: Downstream Transportation and Distribution:** Emissions from the transportation and distribution of sold products in the reporting company\'s value chain.</w:t>
      </w:r>
    </w:p>
    <w:p>
      <w:pPr>
        <w:numPr>
          <w:ilvl w:val="1"/>
          <w:numId w:val="1011"/>
        </w:numPr>
        <w:pStyle w:val="Compact"/>
      </w:pPr>
      <w:r>
        <w:t xml:space="preserve">**Category 11: Use of Sold Products:** Emissions from the use of goods and services sold by the reporting company.</w:t>
      </w:r>
    </w:p>
    <w:p>
      <w:pPr>
        <w:numPr>
          <w:ilvl w:val="1"/>
          <w:numId w:val="1011"/>
        </w:numPr>
        <w:pStyle w:val="Compact"/>
      </w:pPr>
      <w:r>
        <w:t xml:space="preserve">**Category 12: End-of-Life Treatment of Sold Products:** Emissions from the waste disposal and treatment of products sold by the reporting company at the end of their life.</w:t>
      </w:r>
    </w:p>
    <w:bookmarkEnd w:id="36"/>
    <w:bookmarkStart w:id="37" w:name="lsr-update-application"/>
    <w:p>
      <w:pPr>
        <w:pStyle w:val="Heading3"/>
      </w:pPr>
      <w:r>
        <w:t xml:space="preserve">4.2. 2026 LSR Update Application</w:t>
      </w:r>
    </w:p>
    <w:p>
      <w:pPr>
        <w:pStyle w:val="FirstParagraph"/>
      </w:pPr>
      <w:r>
        <w:t xml:space="preserve">The Land Sector and Removals (LSR) Standard, released on January 30, 2026, and effective January 1, 2027, provides guidelines for accounting for land-sector emissions and CO2 removals. While xytswiprko may not directly involve land-intensive activities in its use phase, the LSR Standard is highly relevant for the upstream value chain, particularly concerning the sourcing of raw materials. This includes potential emissions or removals associated with agriculture or land-use change embedded in the production of materials like bio-based plastics or other derived components. For this report, specific land-use data for the BOM components was not available. However, a robust PCF would seek to integrate such data into Scope 3, Category 1, particularly for any bio-based or land-dependent materials, once detailed guidance and data become more widely available and integrated into emission factor databases.</w:t>
      </w:r>
    </w:p>
    <w:bookmarkEnd w:id="37"/>
    <w:bookmarkStart w:id="38" w:name="scope-3-compliance-95-coverage"/>
    <w:p>
      <w:pPr>
        <w:pStyle w:val="Heading3"/>
      </w:pPr>
      <w:r>
        <w:t xml:space="preserve">4.3. Scope 3 Compliance (95% Coverage)</w:t>
      </w:r>
    </w:p>
    <w:p>
      <w:pPr>
        <w:pStyle w:val="FirstParagraph"/>
      </w:pPr>
      <w:r>
        <w:t xml:space="preserve">As per the 2026 requirements, this analysis aims for at least 95% coverage for Scope 3 reporting. All identified material, energy, and transport activities have been included. Any minor exclusions would be quantified and justified. The detailed breakdown below demonstrates comprehensive coverage of the product\'s value chain emissions.</w:t>
      </w:r>
    </w:p>
    <w:bookmarkEnd w:id="38"/>
    <w:bookmarkStart w:id="45" w:name="X581f8009c1b37f738aede82a180ac8eb3792642"/>
    <w:p>
      <w:pPr>
        <w:pStyle w:val="Heading3"/>
      </w:pPr>
      <w:r>
        <w:t xml:space="preserve">4.4. Emissions Calculation Breakdown (per 1.0 unit of xytswiprko)</w:t>
      </w:r>
    </w:p>
    <w:bookmarkStart w:id="39" w:name="Xc030989f2714a8cec85ca09e458bbd9b4a69b0a"/>
    <w:p>
      <w:pPr>
        <w:pStyle w:val="Heading4"/>
      </w:pPr>
      <w:r>
        <w:t xml:space="preserve">4.4.1. Materials Acquisition &amp; Processing (Scope 3, Category 1)</w:t>
      </w:r>
    </w:p>
    <w:p>
      <w:pPr>
        <w:pStyle w:val="FirstParagraph"/>
      </w:pPr>
      <w:r>
        <w:t xml:space="preserve">Based on the provided BOM, the total embodied carbon from raw materials and their initial processing is directly taken from the "Total Carbon" column.</w:t>
      </w:r>
    </w:p>
    <w:p>
      <w:pPr>
        <w:pStyle w:val="BodyText"/>
      </w:pPr>
      <w:r>
        <w:rPr>
          <w:bCs/>
          <w:b/>
        </w:rPr>
        <w:t xml:space="preserve">Calculated Emissions:</w:t>
      </w:r>
      <w:r>
        <w:t xml:space="preserve"> </w:t>
      </w:r>
      <w:r>
        <w:t xml:space="preserve">3.35 kg CO2e</w:t>
      </w:r>
    </w:p>
    <w:bookmarkEnd w:id="39"/>
    <w:bookmarkStart w:id="40" w:name="Xc17ac6d69775c52ab4a8f678e4d36162d0df168"/>
    <w:p>
      <w:pPr>
        <w:pStyle w:val="Heading4"/>
      </w:pPr>
      <w:r>
        <w:t xml:space="preserve">4.4.2. Manufacturing (Production Energy) (Scope 3, Category 1)</w:t>
      </w:r>
    </w:p>
    <w:p>
      <w:pPr>
        <w:numPr>
          <w:ilvl w:val="0"/>
          <w:numId w:val="1012"/>
        </w:numPr>
        <w:pStyle w:val="Compact"/>
      </w:pPr>
      <w:r>
        <w:t xml:space="preserve">Energy Intensity: 5 kWh/unit</w:t>
      </w:r>
    </w:p>
    <w:p>
      <w:pPr>
        <w:numPr>
          <w:ilvl w:val="0"/>
          <w:numId w:val="1012"/>
        </w:numPr>
        <w:pStyle w:val="Compact"/>
      </w:pPr>
      <w:r>
        <w:t xml:space="preserve">Renewable Energy Usage: 70%</w:t>
      </w:r>
    </w:p>
    <w:p>
      <w:pPr>
        <w:numPr>
          <w:ilvl w:val="0"/>
          <w:numId w:val="1012"/>
        </w:numPr>
        <w:pStyle w:val="Compact"/>
      </w:pPr>
      <w:r>
        <w:t xml:space="preserve">Non-renewable electricity portion: 5 kWh * (1 - 0.70) = 1.5 kWh</w:t>
      </w:r>
    </w:p>
    <w:p>
      <w:pPr>
        <w:numPr>
          <w:ilvl w:val="0"/>
          <w:numId w:val="1012"/>
        </w:numPr>
        <w:pStyle w:val="Compact"/>
      </w:pPr>
      <w:r>
        <w:t xml:space="preserve">China Grid Emission Factor: 0.60 kg CO2e/kWh</w:t>
      </w:r>
    </w:p>
    <w:p>
      <w:pPr>
        <w:pStyle w:val="FirstParagraph"/>
      </w:pPr>
      <w:r>
        <w:rPr>
          <w:bCs/>
          <w:b/>
        </w:rPr>
        <w:t xml:space="preserve">Calculated Emissions:</w:t>
      </w:r>
      <w:r>
        <w:t xml:space="preserve"> </w:t>
      </w:r>
      <w:r>
        <w:t xml:space="preserve">1.5 kWh * 0.60 kg CO2e/kWh = 0.90 kg CO2e</w:t>
      </w:r>
    </w:p>
    <w:bookmarkEnd w:id="40"/>
    <w:bookmarkStart w:id="41" w:name="X9d5272df0938084458418fd068ffeb16c54dc65"/>
    <w:p>
      <w:pPr>
        <w:pStyle w:val="Heading4"/>
      </w:pPr>
      <w:r>
        <w:t xml:space="preserve">4.4.3. Upstream Transportation (Scope 3, Category 4)</w:t>
      </w:r>
    </w:p>
    <w:p>
      <w:pPr>
        <w:pStyle w:val="FirstParagraph"/>
      </w:pPr>
      <w:r>
        <w:t xml:space="preserve">Transport of 1.1 kg of components (estimated from BOM) to the China factory.</w:t>
      </w:r>
    </w:p>
    <w:p>
      <w:pPr>
        <w:numPr>
          <w:ilvl w:val="0"/>
          <w:numId w:val="1013"/>
        </w:numPr>
        <w:pStyle w:val="Compact"/>
      </w:pPr>
      <w:r>
        <w:rPr>
          <w:bCs/>
          <w:b/>
        </w:rPr>
        <w:t xml:space="preserve">Road Freight (Europe - e.g., supplier to port):</w:t>
      </w:r>
    </w:p>
    <w:p>
      <w:pPr>
        <w:numPr>
          <w:ilvl w:val="1"/>
          <w:numId w:val="1014"/>
        </w:numPr>
        <w:pStyle w:val="Compact"/>
      </w:pPr>
      <w:r>
        <w:t xml:space="preserve">Weight: 0.0011 tonnes</w:t>
      </w:r>
    </w:p>
    <w:p>
      <w:pPr>
        <w:numPr>
          <w:ilvl w:val="1"/>
          <w:numId w:val="1014"/>
        </w:numPr>
        <w:pStyle w:val="Compact"/>
      </w:pPr>
      <w:r>
        <w:t xml:space="preserve">Distance: 2,000 km</w:t>
      </w:r>
    </w:p>
    <w:p>
      <w:pPr>
        <w:numPr>
          <w:ilvl w:val="1"/>
          <w:numId w:val="1014"/>
        </w:numPr>
        <w:pStyle w:val="Compact"/>
      </w:pPr>
      <w:r>
        <w:t xml:space="preserve">Emission Factor (Heavy Duty): 0.07 kg CO2e/tonne-km</w:t>
      </w:r>
    </w:p>
    <w:p>
      <w:pPr>
        <w:numPr>
          <w:ilvl w:val="1"/>
          <w:numId w:val="1014"/>
        </w:numPr>
        <w:pStyle w:val="Compact"/>
      </w:pPr>
      <w:r>
        <w:t xml:space="preserve">Emissions: 0.0011 t * 2000 km * 0.07 kg CO2e/t-km = 0.154 kg CO2e</w:t>
      </w:r>
    </w:p>
    <w:p>
      <w:pPr>
        <w:numPr>
          <w:ilvl w:val="0"/>
          <w:numId w:val="1013"/>
        </w:numPr>
        <w:pStyle w:val="Compact"/>
      </w:pPr>
      <w:r>
        <w:rPr>
          <w:bCs/>
          <w:b/>
        </w:rPr>
        <w:t xml:space="preserve">Ocean Freight (Europe to China):</w:t>
      </w:r>
    </w:p>
    <w:p>
      <w:pPr>
        <w:numPr>
          <w:ilvl w:val="1"/>
          <w:numId w:val="1015"/>
        </w:numPr>
        <w:pStyle w:val="Compact"/>
      </w:pPr>
      <w:r>
        <w:t xml:space="preserve">Weight: 0.0011 tonnes</w:t>
      </w:r>
    </w:p>
    <w:p>
      <w:pPr>
        <w:numPr>
          <w:ilvl w:val="1"/>
          <w:numId w:val="1015"/>
        </w:numPr>
        <w:pStyle w:val="Compact"/>
      </w:pPr>
      <w:r>
        <w:t xml:space="preserve">Distance: 10,000 km</w:t>
      </w:r>
    </w:p>
    <w:p>
      <w:pPr>
        <w:numPr>
          <w:ilvl w:val="1"/>
          <w:numId w:val="1015"/>
        </w:numPr>
        <w:pStyle w:val="Compact"/>
      </w:pPr>
      <w:r>
        <w:t xml:space="preserve">Emission Factor: 0.016 kg CO2e/tonne-km</w:t>
      </w:r>
    </w:p>
    <w:p>
      <w:pPr>
        <w:numPr>
          <w:ilvl w:val="1"/>
          <w:numId w:val="1015"/>
        </w:numPr>
        <w:pStyle w:val="Compact"/>
      </w:pPr>
      <w:r>
        <w:t xml:space="preserve">Emissions: 0.0011 t * 10,000 km * 0.016 kg CO2e/t-km = 0.176 kg CO2e</w:t>
      </w:r>
    </w:p>
    <w:p>
      <w:pPr>
        <w:pStyle w:val="FirstParagraph"/>
      </w:pPr>
      <w:r>
        <w:rPr>
          <w:bCs/>
          <w:b/>
        </w:rPr>
        <w:t xml:space="preserve">Total Upstream Transport Emissions:</w:t>
      </w:r>
      <w:r>
        <w:t xml:space="preserve"> </w:t>
      </w:r>
      <w:r>
        <w:t xml:space="preserve">0.154 + 0.176 = 0.33 kg CO2e</w:t>
      </w:r>
    </w:p>
    <w:bookmarkEnd w:id="41"/>
    <w:bookmarkStart w:id="42" w:name="Xac024f50450ca9580a18f68e85d7db90b018f2d"/>
    <w:p>
      <w:pPr>
        <w:pStyle w:val="Heading4"/>
      </w:pPr>
      <w:r>
        <w:t xml:space="preserve">4.4.4. Downstream Transportation (Scope 3, Category 9)</w:t>
      </w:r>
    </w:p>
    <w:p>
      <w:pPr>
        <w:pStyle w:val="FirstParagraph"/>
      </w:pPr>
      <w:r>
        <w:t xml:space="preserve">Transport of 1.5 kg finished product from China to end customer in Europe.</w:t>
      </w:r>
    </w:p>
    <w:p>
      <w:pPr>
        <w:numPr>
          <w:ilvl w:val="0"/>
          <w:numId w:val="1016"/>
        </w:numPr>
        <w:pStyle w:val="Compact"/>
      </w:pPr>
      <w:r>
        <w:rPr>
          <w:bCs/>
          <w:b/>
        </w:rPr>
        <w:t xml:space="preserve">Ocean Freight (China to Europe):</w:t>
      </w:r>
    </w:p>
    <w:p>
      <w:pPr>
        <w:numPr>
          <w:ilvl w:val="1"/>
          <w:numId w:val="1017"/>
        </w:numPr>
        <w:pStyle w:val="Compact"/>
      </w:pPr>
      <w:r>
        <w:t xml:space="preserve">Weight: 0.0015 tonnes</w:t>
      </w:r>
    </w:p>
    <w:p>
      <w:pPr>
        <w:numPr>
          <w:ilvl w:val="1"/>
          <w:numId w:val="1017"/>
        </w:numPr>
        <w:pStyle w:val="Compact"/>
      </w:pPr>
      <w:r>
        <w:t xml:space="preserve">Distance: 10,000 km</w:t>
      </w:r>
    </w:p>
    <w:p>
      <w:pPr>
        <w:numPr>
          <w:ilvl w:val="1"/>
          <w:numId w:val="1017"/>
        </w:numPr>
        <w:pStyle w:val="Compact"/>
      </w:pPr>
      <w:r>
        <w:t xml:space="preserve">Emission Factor: 0.016 kg CO2e/tonne-km</w:t>
      </w:r>
    </w:p>
    <w:p>
      <w:pPr>
        <w:numPr>
          <w:ilvl w:val="1"/>
          <w:numId w:val="1017"/>
        </w:numPr>
        <w:pStyle w:val="Compact"/>
      </w:pPr>
      <w:r>
        <w:t xml:space="preserve">Emissions: 0.0015 t * 10,000 km * 0.016 kg CO2e/t-km = 0.24 kg CO2e</w:t>
      </w:r>
    </w:p>
    <w:p>
      <w:pPr>
        <w:numPr>
          <w:ilvl w:val="0"/>
          <w:numId w:val="1016"/>
        </w:numPr>
        <w:pStyle w:val="Compact"/>
      </w:pPr>
      <w:r>
        <w:rPr>
          <w:bCs/>
          <w:b/>
        </w:rPr>
        <w:t xml:space="preserve">Last-Mile Delivery (Europe - Road Freight Light Commercial):</w:t>
      </w:r>
    </w:p>
    <w:p>
      <w:pPr>
        <w:numPr>
          <w:ilvl w:val="1"/>
          <w:numId w:val="1018"/>
        </w:numPr>
        <w:pStyle w:val="Compact"/>
      </w:pPr>
      <w:r>
        <w:t xml:space="preserve">Weight: 0.0015 tonnes</w:t>
      </w:r>
    </w:p>
    <w:p>
      <w:pPr>
        <w:numPr>
          <w:ilvl w:val="1"/>
          <w:numId w:val="1018"/>
        </w:numPr>
        <w:pStyle w:val="Compact"/>
      </w:pPr>
      <w:r>
        <w:t xml:space="preserve">Distance: 50 km</w:t>
      </w:r>
    </w:p>
    <w:p>
      <w:pPr>
        <w:numPr>
          <w:ilvl w:val="1"/>
          <w:numId w:val="1018"/>
        </w:numPr>
        <w:pStyle w:val="Compact"/>
      </w:pPr>
      <w:r>
        <w:t xml:space="preserve">Emission Factor: 0.243 kg CO2e/tonne-km</w:t>
      </w:r>
    </w:p>
    <w:p>
      <w:pPr>
        <w:numPr>
          <w:ilvl w:val="1"/>
          <w:numId w:val="1018"/>
        </w:numPr>
        <w:pStyle w:val="Compact"/>
      </w:pPr>
      <w:r>
        <w:t xml:space="preserve">Emissions: 0.0015 t * 50 km * 0.243 kg CO2e/t-km = 0.018225 kg CO2e</w:t>
      </w:r>
    </w:p>
    <w:p>
      <w:pPr>
        <w:pStyle w:val="FirstParagraph"/>
      </w:pPr>
      <w:r>
        <w:rPr>
          <w:bCs/>
          <w:b/>
        </w:rPr>
        <w:t xml:space="preserve">Total Downstream Transport Emissions:</w:t>
      </w:r>
      <w:r>
        <w:t xml:space="preserve"> </w:t>
      </w:r>
      <w:r>
        <w:t xml:space="preserve">0.24 + 0.018225 = 0.258 kg CO2e</w:t>
      </w:r>
    </w:p>
    <w:bookmarkEnd w:id="42"/>
    <w:bookmarkStart w:id="43" w:name="use-phase-scope-3-category-11"/>
    <w:p>
      <w:pPr>
        <w:pStyle w:val="Heading4"/>
      </w:pPr>
      <w:r>
        <w:t xml:space="preserve">4.4.5. Use Phase (Scope 3, Category 11)</w:t>
      </w:r>
    </w:p>
    <w:p>
      <w:pPr>
        <w:numPr>
          <w:ilvl w:val="0"/>
          <w:numId w:val="1019"/>
        </w:numPr>
        <w:pStyle w:val="Compact"/>
      </w:pPr>
      <w:r>
        <w:t xml:space="preserve">Product Lifespan: 5 years</w:t>
      </w:r>
    </w:p>
    <w:p>
      <w:pPr>
        <w:numPr>
          <w:ilvl w:val="0"/>
          <w:numId w:val="1019"/>
        </w:numPr>
        <w:pStyle w:val="Compact"/>
      </w:pPr>
      <w:r>
        <w:t xml:space="preserve">Energy Consumption in Use: 10 kWh/year</w:t>
      </w:r>
    </w:p>
    <w:p>
      <w:pPr>
        <w:numPr>
          <w:ilvl w:val="0"/>
          <w:numId w:val="1019"/>
        </w:numPr>
        <w:pStyle w:val="Compact"/>
      </w:pPr>
      <w:r>
        <w:t xml:space="preserve">Total Energy Consumption: 10 kWh/year * 5 years = 50 kWh</w:t>
      </w:r>
    </w:p>
    <w:p>
      <w:pPr>
        <w:numPr>
          <w:ilvl w:val="0"/>
          <w:numId w:val="1019"/>
        </w:numPr>
        <w:pStyle w:val="Compact"/>
      </w:pPr>
      <w:r>
        <w:t xml:space="preserve">Electricity Grid Emission Factor (Use): 0.60 kg CO2e/kWh</w:t>
      </w:r>
    </w:p>
    <w:p>
      <w:pPr>
        <w:pStyle w:val="FirstParagraph"/>
      </w:pPr>
      <w:r>
        <w:rPr>
          <w:bCs/>
          <w:b/>
        </w:rPr>
        <w:t xml:space="preserve">Calculated Emissions:</w:t>
      </w:r>
      <w:r>
        <w:t xml:space="preserve"> </w:t>
      </w:r>
      <w:r>
        <w:t xml:space="preserve">50 kWh * 0.60 kg CO2e/kWh = 30.0 kg CO2e</w:t>
      </w:r>
    </w:p>
    <w:bookmarkEnd w:id="43"/>
    <w:bookmarkStart w:id="44" w:name="end-of-life-eol-scope-3-category-12"/>
    <w:p>
      <w:pPr>
        <w:pStyle w:val="Heading4"/>
      </w:pPr>
      <w:r>
        <w:t xml:space="preserve">4.4.6. End-of-Life (EoL) (Scope 3, Category 12)</w:t>
      </w:r>
    </w:p>
    <w:p>
      <w:pPr>
        <w:pStyle w:val="FirstParagraph"/>
      </w:pPr>
      <w:r>
        <w:t xml:space="preserve">Total material weight (from BOM): 1.1 kg. Recyclability Percentage: 80%.</w:t>
      </w:r>
    </w:p>
    <w:p>
      <w:pPr>
        <w:numPr>
          <w:ilvl w:val="0"/>
          <w:numId w:val="1020"/>
        </w:numPr>
        <w:pStyle w:val="Compact"/>
      </w:pPr>
      <w:r>
        <w:rPr>
          <w:bCs/>
          <w:b/>
        </w:rPr>
        <w:t xml:space="preserve">Recycled Material (0.88 kg):</w:t>
      </w:r>
    </w:p>
    <w:p>
      <w:pPr>
        <w:numPr>
          <w:ilvl w:val="1"/>
          <w:numId w:val="1021"/>
        </w:numPr>
        <w:pStyle w:val="Compact"/>
      </w:pPr>
      <w:r>
        <w:t xml:space="preserve">Aluminum (0.5 kg in BOM * 0.80 recycled): 0.4 kg. Credit: 0.4 kg * -8 kg CO2e/kg = -3.20 kg CO2e.</w:t>
      </w:r>
    </w:p>
    <w:p>
      <w:pPr>
        <w:numPr>
          <w:ilvl w:val="1"/>
          <w:numId w:val="1021"/>
        </w:numPr>
        <w:pStyle w:val="Compact"/>
      </w:pPr>
      <w:r>
        <w:t xml:space="preserve">Plastic (0.2 kg in BOM * 0.80 recycled): 0.16 kg. Credit: 0.16 kg * -1.5 kg CO2e/kg = -0.24 kg CO2e.</w:t>
      </w:r>
    </w:p>
    <w:p>
      <w:pPr>
        <w:numPr>
          <w:ilvl w:val="1"/>
          <w:numId w:val="1021"/>
        </w:numPr>
        <w:pStyle w:val="Compact"/>
      </w:pPr>
      <w:r>
        <w:t xml:space="preserve">Cardboard (0.3 kg in BOM * 0.80 recycled): 0.24 kg. Credit: 0.24 kg * -0.46 kg CO2e/kg = -0.11 kg CO2e.</w:t>
      </w:r>
    </w:p>
    <w:p>
      <w:pPr>
        <w:numPr>
          <w:ilvl w:val="1"/>
          <w:numId w:val="1021"/>
        </w:numPr>
        <w:pStyle w:val="Compact"/>
      </w:pPr>
      <w:r>
        <w:t xml:space="preserve">(Circuit board assumed complex, not fully recycled at 80% with simple credits, but the remaining 20% would include it in disposal).</w:t>
      </w:r>
    </w:p>
    <w:p>
      <w:pPr>
        <w:numPr>
          <w:ilvl w:val="1"/>
          <w:numId w:val="1021"/>
        </w:numPr>
        <w:pStyle w:val="Compact"/>
      </w:pPr>
      <w:r>
        <w:t xml:space="preserve">Total Recycling Credits: -3.20 - 0.24 - 0.11 = -3.55 kg CO2e</w:t>
      </w:r>
    </w:p>
    <w:p>
      <w:pPr>
        <w:numPr>
          <w:ilvl w:val="0"/>
          <w:numId w:val="1020"/>
        </w:numPr>
        <w:pStyle w:val="Compact"/>
      </w:pPr>
      <w:r>
        <w:rPr>
          <w:bCs/>
          <w:b/>
        </w:rPr>
        <w:t xml:space="preserve">Disposed Material (20% of 1.1 kg = 0.22 kg):</w:t>
      </w:r>
    </w:p>
    <w:p>
      <w:pPr>
        <w:numPr>
          <w:ilvl w:val="1"/>
          <w:numId w:val="1022"/>
        </w:numPr>
        <w:pStyle w:val="Compact"/>
      </w:pPr>
      <w:r>
        <w:t xml:space="preserve">Emission Factor (Landfill): 0.1 kg CO2e/kg (illustrative)</w:t>
      </w:r>
    </w:p>
    <w:p>
      <w:pPr>
        <w:numPr>
          <w:ilvl w:val="1"/>
          <w:numId w:val="1022"/>
        </w:numPr>
        <w:pStyle w:val="Compact"/>
      </w:pPr>
      <w:r>
        <w:t xml:space="preserve">Emissions: 0.22 kg * 0.1 kg CO2e/kg = 0.022 kg CO2e</w:t>
      </w:r>
    </w:p>
    <w:p>
      <w:pPr>
        <w:pStyle w:val="FirstParagraph"/>
      </w:pPr>
      <w:r>
        <w:rPr>
          <w:bCs/>
          <w:b/>
        </w:rPr>
        <w:t xml:space="preserve">Net End-of-Life Emissions:</w:t>
      </w:r>
      <w:r>
        <w:t xml:space="preserve"> </w:t>
      </w:r>
      <w:r>
        <w:t xml:space="preserve">0.022 - 3.55 = -3.528 kg CO2e (a net carbon removal/credit due to high recyclability and the specific material credits).</w:t>
      </w:r>
    </w:p>
    <w:bookmarkEnd w:id="44"/>
    <w:bookmarkEnd w:id="45"/>
    <w:bookmarkStart w:id="46" w:name="total-product-carbon-footprint-pcf"/>
    <w:p>
      <w:pPr>
        <w:pStyle w:val="Heading3"/>
      </w:pPr>
      <w:r>
        <w:t xml:space="preserve">4.5. Total Product Carbon Footprint (PCF)</w:t>
      </w:r>
    </w:p>
    <w:p>
      <w:pPr>
        <w:pStyle w:val="FirstParagraph"/>
      </w:pPr>
      <w:r>
        <w:t xml:space="preserve">Summing the emissions from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3.35</w:t>
            </w:r>
          </w:p>
        </w:tc>
      </w:tr>
      <w:tr>
        <w:tc>
          <w:tcPr/>
          <w:p>
            <w:pPr>
              <w:pStyle w:val="Compact"/>
              <w:jc w:val="left"/>
            </w:pPr>
            <w:r>
              <w:t xml:space="preserve">Manufacturing (Production Energy)</w:t>
            </w:r>
          </w:p>
        </w:tc>
        <w:tc>
          <w:tcPr/>
          <w:p>
            <w:pPr>
              <w:pStyle w:val="Compact"/>
              <w:jc w:val="left"/>
            </w:pPr>
            <w:r>
              <w:t xml:space="preserve">Scope 3, Category 1</w:t>
            </w:r>
          </w:p>
        </w:tc>
        <w:tc>
          <w:tcPr/>
          <w:p>
            <w:pPr>
              <w:pStyle w:val="Compact"/>
              <w:jc w:val="left"/>
            </w:pPr>
            <w:r>
              <w:t xml:space="preserve">0.90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0.33</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0.258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-3.528</w:t>
            </w:r>
          </w:p>
        </w:tc>
      </w:tr>
      <w:tr>
        <w:tc>
          <w:tcPr>
            <w:gridSpan w:val="2"/>
          </w:tcPr>
          <w:p>
            <w:pPr>
              <w:pStyle w:val="Compact"/>
              <w:jc w:val="left"/>
            </w:pPr>
            <w:r>
              <w:t xml:space="preserve">Total Product Carbon Footprint (PCF) for 1.0 unit of xytswiprko</w:t>
            </w:r>
          </w:p>
        </w:tc>
        <w:tc>
          <w:tcPr/>
          <w:p>
            <w:pPr>
              <w:pStyle w:val="Compact"/>
              <w:jc w:val="left"/>
            </w:pPr>
            <w:r>
              <w:t xml:space="preserve">31.310</w:t>
            </w:r>
          </w:p>
        </w:tc>
      </w:tr>
    </w:tbl>
    <w:p>
      <w:pPr>
        <w:pStyle w:val="BodyText"/>
      </w:pPr>
      <w:r>
        <w:rPr>
          <w:bCs/>
          <w:b/>
        </w:rPr>
        <w:t xml:space="preserve">The total Product Carbon Footprint for one functional unit of xytswiprko is approximately 31.31 kg CO2e.</w:t>
      </w:r>
    </w:p>
    <w:p>
      <w:r>
        <w:pict>
          <v:rect style="width:0;height:1.5pt" o:hralign="center" o:hrstd="t" o:hr="t"/>
        </w:pict>
      </w:r>
    </w:p>
    <w:bookmarkEnd w:id="46"/>
    <w:bookmarkEnd w:id="47"/>
    <w:bookmarkStart w:id="51" w:name="review-report"/>
    <w:p>
      <w:pPr>
        <w:pStyle w:val="Heading2"/>
      </w:pPr>
      <w:r>
        <w:t xml:space="preserve">5. Review &amp; Report</w:t>
      </w:r>
    </w:p>
    <w:bookmarkStart w:id="48" w:name="hotspots-analysis"/>
    <w:p>
      <w:pPr>
        <w:pStyle w:val="Heading3"/>
      </w:pPr>
      <w:r>
        <w:t xml:space="preserve">5.1. Hotspots Analysis</w:t>
      </w:r>
    </w:p>
    <w:p>
      <w:pPr>
        <w:pStyle w:val="FirstParagraph"/>
      </w:pPr>
      <w:r>
        <w:t xml:space="preserve">The analysis clearly identifies the **Use Phase** as the most significant contributor to the overall Product Carbon Footprint, accounting for approximately 95.8% of the positive emissions (30.0 kg CO2e out of 31.31 kg CO2e). This is primarily driven by the assumed energy consumption over the product\'s lifespan and the grid carbon intensity. Materials Acquisition and Processing, while substantial, represents a much smaller portion of the total. End-of-Life, due to high recyclability and material characteristics, provides a net credit.</w:t>
      </w:r>
    </w:p>
    <w:p>
      <w:pPr>
        <w:pStyle w:val="BodyText"/>
      </w:pPr>
      <w:r>
        <w:t xml:space="preserve">Key hotspots are:</w:t>
      </w:r>
    </w:p>
    <w:p>
      <w:pPr>
        <w:numPr>
          <w:ilvl w:val="0"/>
          <w:numId w:val="1023"/>
        </w:numPr>
        <w:pStyle w:val="Compact"/>
      </w:pPr>
      <w:r>
        <w:t xml:space="preserve">**Use Phase (30.0 kg CO2e):** Dominated by electricity consumption over the product\'s 5-year lifespan.</w:t>
      </w:r>
    </w:p>
    <w:p>
      <w:pPr>
        <w:numPr>
          <w:ilvl w:val="0"/>
          <w:numId w:val="1023"/>
        </w:numPr>
        <w:pStyle w:val="Compact"/>
      </w:pPr>
      <w:r>
        <w:t xml:space="preserve">**Materials Acquisition &amp; Processing (3.35 kg CO2e):** Driven by the embodied carbon of components like the circuit board and aluminum casing.</w:t>
      </w:r>
    </w:p>
    <w:bookmarkEnd w:id="48"/>
    <w:bookmarkStart w:id="49" w:name="data-reliability-and-limitations"/>
    <w:p>
      <w:pPr>
        <w:pStyle w:val="Heading3"/>
      </w:pPr>
      <w:r>
        <w:t xml:space="preserve">5.2. Data Reliability and Limitations</w:t>
      </w:r>
    </w:p>
    <w:p>
      <w:pPr>
        <w:pStyle w:val="FirstParagraph"/>
      </w:pPr>
      <w:r>
        <w:t xml:space="preserve">The reliability of this PCF analysis is contingent upon the accuracy and completeness of the input data. Key considerations include:</w:t>
      </w:r>
    </w:p>
    <w:p>
      <w:pPr>
        <w:numPr>
          <w:ilvl w:val="0"/>
          <w:numId w:val="1024"/>
        </w:numPr>
        <w:pStyle w:val="Compact"/>
      </w:pPr>
      <w:r>
        <w:t xml:space="preserve">**Illustrative Data:** For parameters provided as placeholder strings (e.g., \'dlyuphhp\', \'ltkejoxwdp\'), specific numerical values have been assumed for calculation purposes. Actual client-specific data would yield more precise results.</w:t>
      </w:r>
    </w:p>
    <w:p>
      <w:pPr>
        <w:numPr>
          <w:ilvl w:val="0"/>
          <w:numId w:val="1024"/>
        </w:numPr>
        <w:pStyle w:val="Compact"/>
      </w:pPr>
      <w:r>
        <w:t xml:space="preserve">**Emission Factors:** Industry-average emission factors (e.g., for transport modes, electricity grids, and EoL scenarios) have been utilized from reputable sources like DEFRA and IEA. While robust, these may not perfectly reflect the precise operational efficiencies or specific material compositions of tsyumhmhyi\'s actual supply chain.</w:t>
      </w:r>
    </w:p>
    <w:p>
      <w:pPr>
        <w:numPr>
          <w:ilvl w:val="0"/>
          <w:numId w:val="1024"/>
        </w:numPr>
        <w:pStyle w:val="Compact"/>
      </w:pPr>
      <w:r>
        <w:t xml:space="preserve">**Geographic Specificity:** While China\'s electricity grid factor was used for production and use phases, a truly global use phase would require region-specific grid mixes.</w:t>
      </w:r>
    </w:p>
    <w:p>
      <w:pPr>
        <w:numPr>
          <w:ilvl w:val="0"/>
          <w:numId w:val="1024"/>
        </w:numPr>
        <w:pStyle w:val="Compact"/>
      </w:pPr>
      <w:r>
        <w:t xml:space="preserve">**LSR Standard:** Direct integration of the 2026 LSR Standard for land-use emissions and removals would require more granular data on the origin and agricultural practices for any bio-based raw materials, which were not explicitly detailed in the provided BOM. Its relevance is primarily for upstream impacts.</w:t>
      </w:r>
    </w:p>
    <w:p>
      <w:pPr>
        <w:numPr>
          <w:ilvl w:val="0"/>
          <w:numId w:val="1024"/>
        </w:numPr>
        <w:pStyle w:val="Compact"/>
      </w:pPr>
      <w:r>
        <w:t xml:space="preserve">**Scope 3 Coverage:** The analysis has endeavored to cover all relevant Scope 3 categories as per 2026 GHG Protocol requirements. The goal of 95% coverage is deemed achievable with the level of detail provided and assumptions made. Further primary data collection from suppliers would enhance accuracy and confidence in meeting this threshold.</w:t>
      </w:r>
    </w:p>
    <w:bookmarkEnd w:id="49"/>
    <w:bookmarkStart w:id="50" w:name="recommendations-for-reduction"/>
    <w:p>
      <w:pPr>
        <w:pStyle w:val="Heading3"/>
      </w:pPr>
      <w:r>
        <w:t xml:space="preserve">5.3. Recommendations for Reduction</w:t>
      </w:r>
    </w:p>
    <w:p>
      <w:pPr>
        <w:pStyle w:val="FirstParagraph"/>
      </w:pPr>
      <w:r>
        <w:t xml:space="preserve">Based on this PCF analysis, tsyumhmhyi should focus its decarbonization efforts primarily on the following areas:</w:t>
      </w:r>
    </w:p>
    <w:p>
      <w:pPr>
        <w:numPr>
          <w:ilvl w:val="0"/>
          <w:numId w:val="1025"/>
        </w:numPr>
        <w:pStyle w:val="Compact"/>
      </w:pPr>
      <w:r>
        <w:t xml:space="preserve">**Optimize Use Phase Energy Efficiency:** Invest in product design improvements that drastically reduce energy consumption during the product\'s lifespan. This is the single largest lever for reducing the total PCF.</w:t>
      </w:r>
    </w:p>
    <w:p>
      <w:pPr>
        <w:numPr>
          <w:ilvl w:val="0"/>
          <w:numId w:val="1025"/>
        </w:numPr>
        <w:pStyle w:val="Compact"/>
      </w:pPr>
      <w:r>
        <w:t xml:space="preserve">**Promote Renewable Energy Adoption for Use Phase:** Encourage end-users to power the product with renewable energy sources, or explore product-as-a-service models where tsyumhmhyi can influence the energy mix.</w:t>
      </w:r>
    </w:p>
    <w:p>
      <w:pPr>
        <w:numPr>
          <w:ilvl w:val="0"/>
          <w:numId w:val="1025"/>
        </w:numPr>
        <w:pStyle w:val="Compact"/>
      </w:pPr>
      <w:r>
        <w:t xml:space="preserve">**Material Decarbonization:** Investigate opportunities to source lower-carbon intensity materials, particularly for the circuit board and aluminum casing. Engage with suppliers to obtain primary, product-specific emission data.</w:t>
      </w:r>
    </w:p>
    <w:p>
      <w:pPr>
        <w:numPr>
          <w:ilvl w:val="0"/>
          <w:numId w:val="1025"/>
        </w:numPr>
        <w:pStyle w:val="Compact"/>
      </w:pPr>
      <w:r>
        <w:t xml:space="preserve">**Enhance Circularity:** Leverage the existing take-back program (\'kttxljsful\') to maximize the recovery and high-quality recycling of materials, further increasing the positive impact of End-of-Life management.</w:t>
      </w:r>
    </w:p>
    <w:p>
      <w:pPr>
        <w:numPr>
          <w:ilvl w:val="0"/>
          <w:numId w:val="1025"/>
        </w:numPr>
        <w:pStyle w:val="Compact"/>
      </w:pPr>
      <w:r>
        <w:t xml:space="preserve">**Supply Chain Engagement:** Work closely with suppliers (especially in Europe for upstream and China for manufacturing) to improve their energy efficiency, transition to renewable energy, and optimize logistics to reduce transportation emissions.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xytswiprko</dc:title>
  <dc:creator/>
  <dc:description>Detailed Product Carbon Footprint (PCF) analysis for product xytswiprko, conducted by Senior Sustainability Consultant gtpriqfkwv for tsyumhmhyi, adhering to GHG Protocol standards including the 2026 LSR Update and Scope 3 compliance.</dc:description>
  <dc:language>en</dc:language>
  <cp:keywords/>
  <dcterms:created xsi:type="dcterms:W3CDTF">2026-05-30T23:55:47Z</dcterms:created>
  <dcterms:modified xsi:type="dcterms:W3CDTF">2026-05-30T23:55:47Z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