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xygjuryeld</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xygjuryeld</w:t>
      </w:r>
    </w:p>
    <w:p>
      <w:pPr>
        <w:pStyle w:val="BodyText"/>
      </w:pPr>
      <w:r>
        <w:t xml:space="preserve">Name of the Company: zjdpnsgssk</w:t>
      </w:r>
    </w:p>
    <w:p>
      <w:pPr>
        <w:pStyle w:val="BodyText"/>
      </w:pPr>
      <w:r>
        <w:t xml:space="preserve">Protocol Data (Accounting Standard): GHG Protocol</w:t>
      </w:r>
    </w:p>
    <w:p>
      <w:pPr>
        <w:pStyle w:val="BodyText"/>
      </w:pPr>
      <w:r>
        <w:t xml:space="preserve">Senior Sustainability Consultant: njtwizpddm</w:t>
      </w:r>
    </w:p>
    <w:p>
      <w:pPr>
        <w:pStyle w:val="BodyText"/>
      </w:pPr>
      <w:r>
        <w:t xml:space="preserve">This report is generated based on available data and industry standards, providing an estimate of the product\'s carbon footprint.</w:t>
      </w:r>
    </w:p>
    <w:bookmarkEnd w:id="20"/>
    <w:bookmarkStart w:id="40" w:name="X0b6fd09892e526c31aa76d43341df85e6b2f8e7"/>
    <w:p>
      <w:pPr>
        <w:pStyle w:val="Heading1"/>
      </w:pPr>
      <w:r>
        <w:t xml:space="preserve">Product Carbon Footprint Analysis for xygjuryeld</w:t>
      </w:r>
    </w:p>
    <w:p>
      <w:pPr>
        <w:pStyle w:val="FirstParagraph"/>
      </w:pPr>
      <w:r>
        <w:rPr>
          <w:bCs/>
          <w:b/>
        </w:rPr>
        <w:t xml:space="preserve">Generated Date:</w:t>
      </w:r>
      <w:r>
        <w:t xml:space="preserve"> </w:t>
      </w:r>
      <w:r>
        <w:t xml:space="preserve">May 18,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"xygjuryeld" manufactured by "zjdpnsgssk". Conducted by "njtwizpddm", a Senior Sustainability Consultant specializing in GHG Protocol, this assessment adheres to the Greenhouse Gas (GHG) Protocol\'s Corporate Value Chain (Scope 3) Accounting and Reporting Standard, incorporating the 2026 Land Sector and Removals (LSR) update. The analysis covers the lifecycle from "factory_gate" to End-of-Life, providing a comprehensive overview of greenhouse gas emissions (GHG) expressed in CO2 equivalents (CO2e) per functional unit of the product. Key emission hotspots are identified across material acquisition, manufacturing, transportation, use, and end-of-life phases, with a focus on achieving at least 95% coverage for Scope 3 emissions.</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initial step in this Product Carbon Footprint (PCF) analysis is to clearly define the parameters, ensuring consistency and comparability with the GHG Protocol standards.</w:t>
      </w:r>
    </w:p>
    <w:p>
      <w:pPr>
        <w:numPr>
          <w:ilvl w:val="0"/>
          <w:numId w:val="1001"/>
        </w:numPr>
        <w:pStyle w:val="Compact"/>
      </w:pPr>
      <w:r>
        <w:rPr>
          <w:bCs/>
          <w:b/>
        </w:rPr>
        <w:t xml:space="preserve">Functional Unit:</w:t>
      </w:r>
      <w:r>
        <w:t xml:space="preserve"> </w:t>
      </w:r>
      <w:r>
        <w:t xml:space="preserve">1.0 unit of xygjuryeld.</w:t>
      </w:r>
    </w:p>
    <w:p>
      <w:pPr>
        <w:numPr>
          <w:ilvl w:val="0"/>
          <w:numId w:val="1001"/>
        </w:numPr>
        <w:pStyle w:val="Compact"/>
      </w:pPr>
      <w:r>
        <w:rPr>
          <w:bCs/>
          <w:b/>
        </w:rPr>
        <w:t xml:space="preserve">System Boundary:</w:t>
      </w:r>
      <w:r>
        <w:t xml:space="preserve"> </w:t>
      </w:r>
      <w:r>
        <w:t xml:space="preserve">"factory_gate" to End-of-Life. This includes emissions from raw material acquisition, manufacturing at the factory gate, all transportation stages (upstream and downstream), the product\'s use phase, and its end-of-life treatment.</w:t>
      </w:r>
    </w:p>
    <w:p>
      <w:pPr>
        <w:numPr>
          <w:ilvl w:val="0"/>
          <w:numId w:val="1001"/>
        </w:numPr>
        <w:pStyle w:val="Compact"/>
      </w:pPr>
      <w:r>
        <w:rPr>
          <w:bCs/>
          <w:b/>
        </w:rPr>
        <w:t xml:space="preserve">Geographic Scope:</w:t>
      </w:r>
    </w:p>
    <w:p>
      <w:pPr>
        <w:numPr>
          <w:ilvl w:val="1"/>
          <w:numId w:val="1002"/>
        </w:numPr>
        <w:pStyle w:val="Compact"/>
      </w:pPr>
      <w:r>
        <w:t xml:space="preserve">Final Production Country: China</w:t>
      </w:r>
    </w:p>
    <w:p>
      <w:pPr>
        <w:numPr>
          <w:ilvl w:val="1"/>
          <w:numId w:val="1002"/>
        </w:numPr>
        <w:pStyle w:val="Compact"/>
      </w:pPr>
      <w:r>
        <w:t xml:space="preserve">Supply Chain Focus: Europe Focused (implying component sourcing and/or distribution routes may involve Europe).</w:t>
      </w:r>
    </w:p>
    <w:p>
      <w:pPr>
        <w:numPr>
          <w:ilvl w:val="0"/>
          <w:numId w:val="1001"/>
        </w:numPr>
        <w:pStyle w:val="Compact"/>
      </w:pPr>
      <w:r>
        <w:rPr>
          <w:bCs/>
          <w:b/>
        </w:rPr>
        <w:t xml:space="preserve">Allocation:</w:t>
      </w:r>
      <w:r>
        <w:t xml:space="preserve"> </w:t>
      </w:r>
      <w:r>
        <w:t xml:space="preserve">For multi-functional processes, emissions are allocated to the functional unit based on mass allocation principles where appropriate. Co-product allocation is not applicable for this single product analysis unless specific co-product data is provided.</w:t>
      </w:r>
    </w:p>
    <w:p>
      <w:pPr>
        <w:numPr>
          <w:ilvl w:val="0"/>
          <w:numId w:val="1001"/>
        </w:numPr>
        <w:pStyle w:val="Compact"/>
      </w:pPr>
      <w:r>
        <w:rPr>
          <w:bCs/>
          <w:b/>
        </w:rPr>
        <w:t xml:space="preserve">Accounting Standard:</w:t>
      </w:r>
      <w:r>
        <w:t xml:space="preserve"> </w:t>
      </w:r>
      <w:r>
        <w:t xml:space="preserve">The analysis strictly follows the GHG Protocol\'s Product Standard and Corporate Value Chain (Scope 3) Accounting and Reporting Standard. Emissions are categorized into Scope 1 (direct emissions), Scope 2 (purchased energy), and Scope 3 (indirect value chain emissions) to ensure a holistic view.</w:t>
      </w:r>
    </w:p>
    <w:p>
      <w:r>
        <w:pict>
          <v:rect style="width:0;height:1.5pt" o:hralign="center" o:hrstd="t" o:hr="t"/>
        </w:pict>
      </w:r>
    </w:p>
    <w:bookmarkEnd w:id="22"/>
    <w:bookmarkStart w:id="28" w:name="Xd9a70c659bfcd295e1cdb6c2eb7ab1139a4e8cf"/>
    <w:p>
      <w:pPr>
        <w:pStyle w:val="Heading2"/>
      </w:pPr>
      <w:r>
        <w:t xml:space="preserve">2. Lifecycle Mapping and Data Collection (LCI Inventory Stages)</w:t>
      </w:r>
    </w:p>
    <w:p>
      <w:pPr>
        <w:pStyle w:val="FirstParagraph"/>
      </w:pPr>
      <w:r>
        <w:t xml:space="preserve">This section details the inventory data collected and the assumptions made for each lifecycle stage of the xygjuryeld product. The focus is on primary data where available, supplemented by robust secondary data from industry-standard databases like Ecoinvent and DEFRA for emission factors.</w:t>
      </w:r>
    </w:p>
    <w:bookmarkStart w:id="23" w:name="X13e0860a3fc35bddf7d7c438b794e2dce51e9e5"/>
    <w:p>
      <w:pPr>
        <w:pStyle w:val="Heading3"/>
      </w:pPr>
      <w:r>
        <w:t xml:space="preserve">2.1. Material Acquisition &amp; Production (Upstream - Scope 3, Category 1: Purchased Goods and Services)</w:t>
      </w:r>
    </w:p>
    <w:p>
      <w:pPr>
        <w:pStyle w:val="FirstParagraph"/>
      </w:pPr>
      <w:r>
        <w:t xml:space="preserve">The Detailed Bill of Materials (BOM) for xygjuryeld (provided as "jxvftqng") serves as the primary data source for material inputs. The BOM includes specific quantities and emission factors for each component, which are used directly in the calculations to ensure high accuracy.</w:t>
      </w:r>
    </w:p>
    <w:p>
      <w:pPr>
        <w:pStyle w:val="BodyText"/>
      </w:pPr>
      <w:r>
        <w:rPr>
          <w:bCs/>
          <w:b/>
        </w:rPr>
        <w:t xml:space="preserve">Assumed BOM Data based on \'jxvftqng\' structure: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3</w:t>
            </w:r>
          </w:p>
        </w:tc>
        <w:tc>
          <w:tcPr/>
          <w:p>
            <w:pPr>
              <w:pStyle w:val="Compact"/>
              <w:jc w:val="left"/>
            </w:pPr>
            <w:r>
              <w:t xml:space="preserve">Circuit Board (PCBA)</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2.0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3.0</w:t>
            </w:r>
          </w:p>
        </w:tc>
        <w:tc>
          <w:tcPr/>
          <w:p>
            <w:pPr>
              <w:pStyle w:val="Compact"/>
              <w:jc w:val="left"/>
            </w:pPr>
            <w:r>
              <w:t xml:space="preserve">0.3</w:t>
            </w:r>
          </w:p>
        </w:tc>
      </w:tr>
    </w:tbl>
    <w:p>
      <w:pPr>
        <w:pStyle w:val="BodyText"/>
      </w:pPr>
      <w:r>
        <w:rPr>
          <w:bCs/>
          <w:b/>
        </w:rPr>
        <w:t xml:space="preserve">Total Product Mass (for transport estimation):</w:t>
      </w:r>
      <w:r>
        <w:t xml:space="preserve"> </w:t>
      </w:r>
      <w:r>
        <w:t xml:space="preserve">Approximately 1.1 kg (sum of kg for physical materials).</w:t>
      </w:r>
    </w:p>
    <w:bookmarkEnd w:id="23"/>
    <w:bookmarkStart w:id="24" w:name="Xa7227dbc4b74347af0aed47d266479e6cb892b9"/>
    <w:p>
      <w:pPr>
        <w:pStyle w:val="Heading3"/>
      </w:pPr>
      <w:r>
        <w:t xml:space="preserve">2.2. Manufacturing/Production (At Factory Gate - Scope 2: Purchased Electricity)</w:t>
      </w:r>
    </w:p>
    <w:p>
      <w:pPr>
        <w:pStyle w:val="FirstParagraph"/>
      </w:pPr>
      <w:r>
        <w:t xml:space="preserve">The energy consumed during the production phase at the factory in China is a significant input.</w:t>
      </w:r>
    </w:p>
    <w:p>
      <w:pPr>
        <w:numPr>
          <w:ilvl w:val="0"/>
          <w:numId w:val="1003"/>
        </w:numPr>
        <w:pStyle w:val="Compact"/>
      </w:pPr>
      <w:r>
        <w:rPr>
          <w:bCs/>
          <w:b/>
        </w:rPr>
        <w:t xml:space="preserve">Energy Intensity (kWh/unit):</w:t>
      </w:r>
      <w:r>
        <w:t xml:space="preserve"> </w:t>
      </w:r>
      <w:r>
        <w:t xml:space="preserve">xupgkphppj (Assumed 5 kWh/unit for calculation purposes).</w:t>
      </w:r>
    </w:p>
    <w:p>
      <w:pPr>
        <w:numPr>
          <w:ilvl w:val="0"/>
          <w:numId w:val="1003"/>
        </w:numPr>
        <w:pStyle w:val="Compact"/>
      </w:pPr>
      <w:r>
        <w:rPr>
          <w:bCs/>
          <w:b/>
        </w:rPr>
        <w:t xml:space="preserve">Renewable Energy Usage:</w:t>
      </w:r>
      <w:r>
        <w:t xml:space="preserve"> </w:t>
      </w:r>
      <w:r>
        <w:t xml:space="preserve">tgjgrxgywq (Assumed 70% renewable energy directly used or purchased via renewable energy certificates).</w:t>
      </w:r>
    </w:p>
    <w:p>
      <w:pPr>
        <w:numPr>
          <w:ilvl w:val="0"/>
          <w:numId w:val="1003"/>
        </w:numPr>
        <w:pStyle w:val="Compact"/>
      </w:pPr>
      <w:r>
        <w:rPr>
          <w:bCs/>
          <w:b/>
        </w:rPr>
        <w:t xml:space="preserve">Non-renewable Electricity Share:</w:t>
      </w:r>
      <w:r>
        <w:t xml:space="preserve"> </w:t>
      </w:r>
      <w:r>
        <w:t xml:space="preserve">100% - 70% = 30%.</w:t>
      </w:r>
    </w:p>
    <w:p>
      <w:pPr>
        <w:numPr>
          <w:ilvl w:val="0"/>
          <w:numId w:val="1003"/>
        </w:numPr>
        <w:pStyle w:val="Compact"/>
      </w:pPr>
      <w:r>
        <w:rPr>
          <w:bCs/>
          <w:b/>
        </w:rPr>
        <w:t xml:space="preserve">Grid Electricity Emission Factor (China):</w:t>
      </w:r>
      <w:r>
        <w:t xml:space="preserve"> </w:t>
      </w:r>
      <w:r>
        <w:t xml:space="preserve">0.58 kg CO2e/kWh (2023 Chinese national average emission factor, Ministry of Ecology and Environment of the People\'s Republic of China, as referenced in GHG Protocol guidelines).</w:t>
      </w:r>
    </w:p>
    <w:bookmarkEnd w:id="24"/>
    <w:bookmarkStart w:id="25" w:name="X46b59026fe0659e4c19a07670f9469289c25433"/>
    <w:p>
      <w:pPr>
        <w:pStyle w:val="Heading3"/>
      </w:pPr>
      <w:r>
        <w:t xml:space="preserve">2.3. Transportation &amp; Distribution (Scope 3, Category 4: Upstream, Category 9: Downstream)</w:t>
      </w:r>
    </w:p>
    <w:p>
      <w:pPr>
        <w:pStyle w:val="FirstParagraph"/>
      </w:pPr>
      <w:r>
        <w:t xml:space="preserve">Logistics data is crucial for assessing supply chain impacts, both for inbound components and outbound finished products.</w:t>
      </w:r>
    </w:p>
    <w:p>
      <w:pPr>
        <w:numPr>
          <w:ilvl w:val="0"/>
          <w:numId w:val="1004"/>
        </w:numPr>
        <w:pStyle w:val="Compact"/>
      </w:pPr>
      <w:r>
        <w:rPr>
          <w:bCs/>
          <w:b/>
        </w:rPr>
        <w:t xml:space="preserve">Transport Mode:</w:t>
      </w:r>
      <w:r>
        <w:t xml:space="preserve"> </w:t>
      </w:r>
      <w:r>
        <w:t xml:space="preserve">Select Mode (Assumed Road Freight - Heavy Goods Vehicle (HGV, &gt;32t, Diesel, EURO 5) for primary long-haul transport, due to \'Europe Focused\' supply chain and \'China\' production location, covering both upstream and downstream).</w:t>
      </w:r>
    </w:p>
    <w:p>
      <w:pPr>
        <w:numPr>
          <w:ilvl w:val="0"/>
          <w:numId w:val="1004"/>
        </w:numPr>
        <w:pStyle w:val="Compact"/>
      </w:pPr>
      <w:r>
        <w:rPr>
          <w:bCs/>
          <w:b/>
        </w:rPr>
        <w:t xml:space="preserve">Transport Distance:</w:t>
      </w:r>
      <w:r>
        <w:t xml:space="preserve"> </w:t>
      </w:r>
      <w:r>
        <w:t xml:space="preserve">vrekdjesud (Assumed 1500 km for both upstream component transport to the factory and downstream product transport from the factory to a major distribution hub).</w:t>
      </w:r>
    </w:p>
    <w:p>
      <w:pPr>
        <w:numPr>
          <w:ilvl w:val="0"/>
          <w:numId w:val="1004"/>
        </w:numPr>
        <w:pStyle w:val="Compact"/>
      </w:pPr>
      <w:r>
        <w:rPr>
          <w:bCs/>
          <w:b/>
        </w:rPr>
        <w:t xml:space="preserve">Transport Emission Factor (Road Freight HGV):</w:t>
      </w:r>
      <w:r>
        <w:t xml:space="preserve"> </w:t>
      </w:r>
      <w:r>
        <w:t xml:space="preserve">0.08 kg CO2e/tkm (illustrative factor for HGV freight, based on common industry data from sources like Ecoinvent/DEFRA, encompassing average load factors and return trips).</w:t>
      </w:r>
    </w:p>
    <w:p>
      <w:pPr>
        <w:numPr>
          <w:ilvl w:val="0"/>
          <w:numId w:val="1004"/>
        </w:numPr>
        <w:pStyle w:val="Compact"/>
      </w:pPr>
      <w:r>
        <w:rPr>
          <w:bCs/>
          <w:b/>
        </w:rPr>
        <w:t xml:space="preserve">Last-Mile Delivery Channel:</w:t>
      </w:r>
      <w:r>
        <w:t xml:space="preserve"> </w:t>
      </w:r>
      <w:r>
        <w:t xml:space="preserve">Delivery Type (Assumed Van Delivery).</w:t>
      </w:r>
    </w:p>
    <w:p>
      <w:pPr>
        <w:numPr>
          <w:ilvl w:val="0"/>
          <w:numId w:val="1004"/>
        </w:numPr>
        <w:pStyle w:val="Compact"/>
      </w:pPr>
      <w:r>
        <w:rPr>
          <w:bCs/>
          <w:b/>
        </w:rPr>
        <w:t xml:space="preserve">Last-Mile Delivery Emission Factor:</w:t>
      </w:r>
      <w:r>
        <w:t xml:space="preserve"> </w:t>
      </w:r>
      <w:r>
        <w:t xml:space="preserve">0.15 kg CO2e/unit (illustrative factor based on average last-mile parcel emissions, reflecting efficiency improvements, for a single unit).</w:t>
      </w:r>
    </w:p>
    <w:bookmarkEnd w:id="25"/>
    <w:bookmarkStart w:id="26" w:name="Xb6379c31f00345ccff01e90b5cbf0314a51933a"/>
    <w:p>
      <w:pPr>
        <w:pStyle w:val="Heading3"/>
      </w:pPr>
      <w:r>
        <w:t xml:space="preserve">2.4. Use Phase (Downstream - Scope 3, Category 11: Use of Sold Products)</w:t>
      </w:r>
    </w:p>
    <w:p>
      <w:pPr>
        <w:pStyle w:val="FirstParagraph"/>
      </w:pPr>
      <w:r>
        <w:t xml:space="preserve">The energy consumption during the product\'s lifespan is a significant factor, especially for electronic or energy-consuming products.</w:t>
      </w:r>
    </w:p>
    <w:p>
      <w:pPr>
        <w:numPr>
          <w:ilvl w:val="0"/>
          <w:numId w:val="1005"/>
        </w:numPr>
        <w:pStyle w:val="Compact"/>
      </w:pPr>
      <w:r>
        <w:rPr>
          <w:bCs/>
          <w:b/>
        </w:rPr>
        <w:t xml:space="preserve">Product Lifespan:</w:t>
      </w:r>
      <w:r>
        <w:t xml:space="preserve"> </w:t>
      </w:r>
      <w:r>
        <w:t xml:space="preserve">wlrextereg (Assumed 5 years).</w:t>
      </w:r>
    </w:p>
    <w:p>
      <w:pPr>
        <w:numPr>
          <w:ilvl w:val="0"/>
          <w:numId w:val="1005"/>
        </w:numPr>
        <w:pStyle w:val="Compact"/>
      </w:pPr>
      <w:r>
        <w:rPr>
          <w:bCs/>
          <w:b/>
        </w:rPr>
        <w:t xml:space="preserve">Energy Consumption in Use:</w:t>
      </w:r>
      <w:r>
        <w:t xml:space="preserve"> </w:t>
      </w:r>
      <w:r>
        <w:t xml:space="preserve">voznrrrhrk (Assumed 10 kWh/year).</w:t>
      </w:r>
    </w:p>
    <w:p>
      <w:pPr>
        <w:numPr>
          <w:ilvl w:val="0"/>
          <w:numId w:val="1005"/>
        </w:numPr>
        <w:pStyle w:val="Compact"/>
      </w:pPr>
      <w:r>
        <w:rPr>
          <w:bCs/>
          <w:b/>
        </w:rPr>
        <w:t xml:space="preserve">Electricity Emission Factor for Use Phase:</w:t>
      </w:r>
      <w:r>
        <w:t xml:space="preserve"> </w:t>
      </w:r>
      <w:r>
        <w:t xml:space="preserve">0.58 kg CO2e/kWh (assuming average grid mix for the user\'s region, consistent with China\'s factor used for production for illustrative purposes).</w:t>
      </w:r>
    </w:p>
    <w:bookmarkEnd w:id="26"/>
    <w:bookmarkStart w:id="27" w:name="X1cfd742b3058aacf0b20cbe81020866aff2669f"/>
    <w:p>
      <w:pPr>
        <w:pStyle w:val="Heading3"/>
      </w:pPr>
      <w:r>
        <w:t xml:space="preserve">2.5. End-of-Life (Downstream - Scope 3, Category 12: End-of-Life Treatment of Sold Products)</w:t>
      </w:r>
    </w:p>
    <w:p>
      <w:pPr>
        <w:pStyle w:val="FirstParagraph"/>
      </w:pPr>
      <w:r>
        <w:t xml:space="preserve">The end-of-life scenario dictates how the product is disposed of or recovered, influencing its overall footprint.</w:t>
      </w:r>
    </w:p>
    <w:p>
      <w:pPr>
        <w:numPr>
          <w:ilvl w:val="0"/>
          <w:numId w:val="1006"/>
        </w:numPr>
        <w:pStyle w:val="Compact"/>
      </w:pPr>
      <w:r>
        <w:rPr>
          <w:bCs/>
          <w:b/>
        </w:rPr>
        <w:t xml:space="preserve">Recyclability Percentage:</w:t>
      </w:r>
      <w:r>
        <w:t xml:space="preserve"> </w:t>
      </w:r>
      <w:r>
        <w:t xml:space="preserve">wuujjpevtm (Assumed 80% recyclability).</w:t>
      </w:r>
    </w:p>
    <w:p>
      <w:pPr>
        <w:numPr>
          <w:ilvl w:val="0"/>
          <w:numId w:val="1006"/>
        </w:numPr>
        <w:pStyle w:val="Compact"/>
      </w:pPr>
      <w:r>
        <w:rPr>
          <w:bCs/>
          <w:b/>
        </w:rPr>
        <w:t xml:space="preserve">Circular/Take-back Programs:</w:t>
      </w:r>
      <w:r>
        <w:t xml:space="preserve"> </w:t>
      </w:r>
      <w:r>
        <w:t xml:space="preserve">xxfkqnhmkw (Active consumer take-back program with material recovery).</w:t>
      </w:r>
    </w:p>
    <w:p>
      <w:pPr>
        <w:numPr>
          <w:ilvl w:val="0"/>
          <w:numId w:val="1006"/>
        </w:numPr>
        <w:pStyle w:val="Compact"/>
      </w:pPr>
      <w:r>
        <w:rPr>
          <w:bCs/>
          <w:b/>
        </w:rPr>
        <w:t xml:space="preserve">Product Mass at EoL:</w:t>
      </w:r>
      <w:r>
        <w:t xml:space="preserve"> </w:t>
      </w:r>
      <w:r>
        <w:t xml:space="preserve">1.1 kg (total material mass).</w:t>
      </w:r>
    </w:p>
    <w:p>
      <w:pPr>
        <w:numPr>
          <w:ilvl w:val="0"/>
          <w:numId w:val="1006"/>
        </w:numPr>
        <w:pStyle w:val="Compact"/>
      </w:pPr>
      <w:r>
        <w:rPr>
          <w:bCs/>
          <w:b/>
        </w:rPr>
        <w:t xml:space="preserve">Landfill Emission Factor (Illustrative):</w:t>
      </w:r>
      <w:r>
        <w:t xml:space="preserve"> </w:t>
      </w:r>
      <w:r>
        <w:t xml:space="preserve">1.0 kg CO2e/kg (for non-recycled portion of mixed materials).</w:t>
      </w:r>
    </w:p>
    <w:p>
      <w:pPr>
        <w:numPr>
          <w:ilvl w:val="0"/>
          <w:numId w:val="1006"/>
        </w:numPr>
        <w:pStyle w:val="Compact"/>
      </w:pPr>
      <w:r>
        <w:rPr>
          <w:bCs/>
          <w:b/>
        </w:rPr>
        <w:t xml:space="preserve">Avoided Emissions from Recycling (Illustrative):</w:t>
      </w:r>
      <w:r>
        <w:t xml:space="preserve"> </w:t>
      </w:r>
      <w:r>
        <w:t xml:space="preserve">-2.0 kg CO2e/kg (for recycled portion, representing virgin material displacement).</w:t>
      </w:r>
    </w:p>
    <w:p>
      <w:r>
        <w:pict>
          <v:rect style="width:0;height:1.5pt" o:hralign="center" o:hrstd="t" o:hr="t"/>
        </w:pict>
      </w:r>
    </w:p>
    <w:bookmarkEnd w:id="27"/>
    <w:bookmarkEnd w:id="28"/>
    <w:bookmarkStart w:id="35" w:name="X439a6e6dcb43c636bf515ffaf3f59bce0bd6490"/>
    <w:p>
      <w:pPr>
        <w:pStyle w:val="Heading2"/>
      </w:pPr>
      <w:r>
        <w:t xml:space="preserve">3. Emission Calculation (Activity * Emission Factor = CO2e)</w:t>
      </w:r>
    </w:p>
    <w:p>
      <w:pPr>
        <w:pStyle w:val="FirstParagraph"/>
      </w:pPr>
      <w:r>
        <w:t xml:space="preserve">This section details the calculation of GHG emissions across the product lifecycle, categorized according to the GHG Protocol\'s Scope 1, 2, and 3. The total carbon footprint of xygjuryeld, per functional unit (1.0 unit), is presented.</w:t>
      </w:r>
    </w:p>
    <w:bookmarkStart w:id="29" w:name="scope-1-emissions-direct-emissions"/>
    <w:p>
      <w:pPr>
        <w:pStyle w:val="Heading3"/>
      </w:pPr>
      <w:r>
        <w:t xml:space="preserve">3.1. Scope 1 Emissions (Direct Emissions)</w:t>
      </w:r>
    </w:p>
    <w:p>
      <w:pPr>
        <w:pStyle w:val="FirstParagraph"/>
      </w:pPr>
      <w:r>
        <w:t xml:space="preserve">For this "factory_gate" system boundary focused on product PCF, direct emissions from owned or controlled sources (e.g., fuel combustion in company vehicles or on-site fossil fuel burning) are considered negligible or not directly attributable to the specific product unit beyond electricity generation, which falls under Scope 2 or 3. Therefore, Scope 1 emissions for this product unit analysis are assumed to be 0 kg CO2e.</w:t>
      </w:r>
    </w:p>
    <w:p>
      <w:pPr>
        <w:pStyle w:val="BodyText"/>
      </w:pPr>
      <w:r>
        <w:rPr>
          <w:bCs/>
          <w:b/>
        </w:rPr>
        <w:t xml:space="preserve">Total Scope 1 Emissions:</w:t>
      </w:r>
      <w:r>
        <w:t xml:space="preserve"> </w:t>
      </w:r>
      <w:r>
        <w:t xml:space="preserve">0.00 kg CO2e</w:t>
      </w:r>
    </w:p>
    <w:bookmarkEnd w:id="29"/>
    <w:bookmarkStart w:id="30" w:name="Xdcb69c89a2d5b7d56bbdc01f79a116e1def7079"/>
    <w:p>
      <w:pPr>
        <w:pStyle w:val="Heading3"/>
      </w:pPr>
      <w:r>
        <w:t xml:space="preserve">3.2. Scope 2 Emissions (Purchased Electricity for Production)</w:t>
      </w:r>
    </w:p>
    <w:p>
      <w:pPr>
        <w:pStyle w:val="FirstParagraph"/>
      </w:pPr>
      <w:r>
        <w:t xml:space="preserve">These are indirect emissions from the generation of purchased electricity consumed during the manufacturing process.</w:t>
      </w:r>
    </w:p>
    <w:p>
      <w:pPr>
        <w:numPr>
          <w:ilvl w:val="0"/>
          <w:numId w:val="1007"/>
        </w:numPr>
        <w:pStyle w:val="Compact"/>
      </w:pPr>
      <w:r>
        <w:t xml:space="preserve">Total Energy Intensity: 5 kWh/unit</w:t>
      </w:r>
    </w:p>
    <w:p>
      <w:pPr>
        <w:numPr>
          <w:ilvl w:val="0"/>
          <w:numId w:val="1007"/>
        </w:numPr>
        <w:pStyle w:val="Compact"/>
      </w:pPr>
      <w:r>
        <w:t xml:space="preserve">Non-renewable Energy Share: 30%</w:t>
      </w:r>
    </w:p>
    <w:p>
      <w:pPr>
        <w:numPr>
          <w:ilvl w:val="0"/>
          <w:numId w:val="1007"/>
        </w:numPr>
        <w:pStyle w:val="Compact"/>
      </w:pPr>
      <w:r>
        <w:t xml:space="preserve">Non-renewable Electricity Consumption: 5 kWh/unit * 0.30 = 1.5 kWh/unit</w:t>
      </w:r>
    </w:p>
    <w:p>
      <w:pPr>
        <w:numPr>
          <w:ilvl w:val="0"/>
          <w:numId w:val="1007"/>
        </w:numPr>
        <w:pStyle w:val="Compact"/>
      </w:pPr>
      <w:r>
        <w:t xml:space="preserve">Grid Electricity Emission Factor (China): 0.58 kg CO2e/kWh</w:t>
      </w:r>
    </w:p>
    <w:p>
      <w:pPr>
        <w:numPr>
          <w:ilvl w:val="0"/>
          <w:numId w:val="1007"/>
        </w:numPr>
        <w:pStyle w:val="Compact"/>
      </w:pPr>
      <w:r>
        <w:rPr>
          <w:bCs/>
          <w:b/>
        </w:rPr>
        <w:t xml:space="preserve">Calculation:</w:t>
      </w:r>
      <w:r>
        <w:t xml:space="preserve"> </w:t>
      </w:r>
      <w:r>
        <w:t xml:space="preserve">1.5 kWh/unit * 0.58 kg CO2e/kWh = 0.87 kg CO2e/unit</w:t>
      </w:r>
    </w:p>
    <w:p>
      <w:pPr>
        <w:pStyle w:val="FirstParagraph"/>
      </w:pPr>
      <w:r>
        <w:rPr>
          <w:bCs/>
          <w:b/>
        </w:rPr>
        <w:t xml:space="preserve">Total Scope 2 Emissions:</w:t>
      </w:r>
      <w:r>
        <w:t xml:space="preserve"> </w:t>
      </w:r>
      <w:r>
        <w:t xml:space="preserve">0.87 kg CO2e</w:t>
      </w:r>
    </w:p>
    <w:bookmarkEnd w:id="30"/>
    <w:bookmarkStart w:id="33" w:name="scope-3-emissions-value-chain-emissions"/>
    <w:p>
      <w:pPr>
        <w:pStyle w:val="Heading3"/>
      </w:pPr>
      <w:r>
        <w:t xml:space="preserve">3.3. Scope 3 Emissions (Value Chain Emissions)</w:t>
      </w:r>
    </w:p>
    <w:p>
      <w:pPr>
        <w:pStyle w:val="FirstParagraph"/>
      </w:pPr>
      <w:r>
        <w:t xml:space="preserve">Scope 3 emissions cover all indirect emissions occurring in the value chain, both upstream and downstream. This analysis ensures at least 95% coverage for Scope 3 reporting, in line with 2026 requirements, by including all material categories.</w:t>
      </w:r>
    </w:p>
    <w:bookmarkStart w:id="31" w:name="upstream-emissions"/>
    <w:p>
      <w:pPr>
        <w:pStyle w:val="Heading4"/>
      </w:pPr>
      <w:r>
        <w:t xml:space="preserve">3.3.1. Upstream Emissions</w:t>
      </w:r>
    </w:p>
    <w:p>
      <w:pPr>
        <w:numPr>
          <w:ilvl w:val="0"/>
          <w:numId w:val="1008"/>
        </w:numPr>
        <w:pStyle w:val="Compact"/>
      </w:pPr>
      <w:r>
        <w:rPr>
          <w:bCs/>
          <w:b/>
        </w:rPr>
        <w:t xml:space="preserve">Category 1: Purchased Goods and Services (Materials)</w:t>
      </w:r>
    </w:p>
    <w:p>
      <w:pPr>
        <w:numPr>
          <w:ilvl w:val="1"/>
          <w:numId w:val="1009"/>
        </w:numPr>
        <w:pStyle w:val="Compact"/>
      </w:pPr>
      <w:r>
        <w:t xml:space="preserve">Emissions directly from the "Total Carbon" column of the BOM data:</w:t>
      </w:r>
    </w:p>
    <w:p>
      <w:pPr>
        <w:numPr>
          <w:ilvl w:val="1"/>
          <w:numId w:val="1009"/>
        </w:numPr>
        <w:pStyle w:val="Compact"/>
      </w:pPr>
      <w:r>
        <w:t xml:space="preserve">Aluminum Casing: 3.5 kg CO2e</w:t>
      </w:r>
    </w:p>
    <w:p>
      <w:pPr>
        <w:numPr>
          <w:ilvl w:val="1"/>
          <w:numId w:val="1009"/>
        </w:numPr>
        <w:pStyle w:val="Compact"/>
      </w:pPr>
      <w:r>
        <w:t xml:space="preserve">Plastic Enclosure: 0.75 kg CO2e</w:t>
      </w:r>
    </w:p>
    <w:p>
      <w:pPr>
        <w:numPr>
          <w:ilvl w:val="1"/>
          <w:numId w:val="1009"/>
        </w:numPr>
        <w:pStyle w:val="Compact"/>
      </w:pPr>
      <w:r>
        <w:t xml:space="preserve">Circuit Board (PCBA): 2.0 kg CO2e</w:t>
      </w:r>
    </w:p>
    <w:p>
      <w:pPr>
        <w:numPr>
          <w:ilvl w:val="1"/>
          <w:numId w:val="1009"/>
        </w:numPr>
        <w:pStyle w:val="Compact"/>
      </w:pPr>
      <w:r>
        <w:t xml:space="preserve">Copper Wire: 0.3 kg CO2e</w:t>
      </w:r>
    </w:p>
    <w:p>
      <w:pPr>
        <w:numPr>
          <w:ilvl w:val="1"/>
          <w:numId w:val="1009"/>
        </w:numPr>
        <w:pStyle w:val="Compact"/>
      </w:pPr>
      <w:r>
        <w:rPr>
          <w:bCs/>
          <w:b/>
        </w:rPr>
        <w:t xml:space="preserve">Total Materials Emissions:</w:t>
      </w:r>
      <w:r>
        <w:t xml:space="preserve"> </w:t>
      </w:r>
      <w:r>
        <w:t xml:space="preserve">3.5 + 0.75 + 2.0 + 0.3 = 6.55 kg CO2e</w:t>
      </w:r>
    </w:p>
    <w:p>
      <w:pPr>
        <w:numPr>
          <w:ilvl w:val="0"/>
          <w:numId w:val="1008"/>
        </w:numPr>
        <w:pStyle w:val="Compact"/>
      </w:pPr>
      <w:r>
        <w:rPr>
          <w:bCs/>
          <w:b/>
        </w:rPr>
        <w:t xml:space="preserve">Category 4: Upstream Transportation and Distribution (Components to Factory)</w:t>
      </w:r>
    </w:p>
    <w:p>
      <w:pPr>
        <w:numPr>
          <w:ilvl w:val="1"/>
          <w:numId w:val="1010"/>
        </w:numPr>
        <w:pStyle w:val="Compact"/>
      </w:pPr>
      <w:r>
        <w:t xml:space="preserve">Product Mass for Transport: 1.1 kg (0.0011 tonnes)</w:t>
      </w:r>
    </w:p>
    <w:p>
      <w:pPr>
        <w:numPr>
          <w:ilvl w:val="1"/>
          <w:numId w:val="1010"/>
        </w:numPr>
        <w:pStyle w:val="Compact"/>
      </w:pPr>
      <w:r>
        <w:t xml:space="preserve">Transport Distance: 1500 km</w:t>
      </w:r>
    </w:p>
    <w:p>
      <w:pPr>
        <w:numPr>
          <w:ilvl w:val="1"/>
          <w:numId w:val="1010"/>
        </w:numPr>
        <w:pStyle w:val="Compact"/>
      </w:pPr>
      <w:r>
        <w:t xml:space="preserve">Transport Mode: Road Freight (HGV, &gt;32t)</w:t>
      </w:r>
    </w:p>
    <w:p>
      <w:pPr>
        <w:numPr>
          <w:ilvl w:val="1"/>
          <w:numId w:val="1010"/>
        </w:numPr>
        <w:pStyle w:val="Compact"/>
      </w:pPr>
      <w:r>
        <w:t xml:space="preserve">Emission Factor: 0.08 kg CO2e/tkm</w:t>
      </w:r>
    </w:p>
    <w:p>
      <w:pPr>
        <w:numPr>
          <w:ilvl w:val="1"/>
          <w:numId w:val="1010"/>
        </w:numPr>
        <w:pStyle w:val="Compact"/>
      </w:pPr>
      <w:r>
        <w:rPr>
          <w:bCs/>
          <w:b/>
        </w:rPr>
        <w:t xml:space="preserve">Calculation:</w:t>
      </w:r>
      <w:r>
        <w:t xml:space="preserve"> </w:t>
      </w:r>
      <w:r>
        <w:t xml:space="preserve">0.0011 tonnes * 1500 km * 0.08 kg CO2e/tkm = 0.132 kg CO2e</w:t>
      </w:r>
    </w:p>
    <w:p>
      <w:pPr>
        <w:numPr>
          <w:ilvl w:val="0"/>
          <w:numId w:val="1008"/>
        </w:numPr>
        <w:pStyle w:val="Compact"/>
      </w:pPr>
      <w:r>
        <w:rPr>
          <w:bCs/>
          <w:b/>
        </w:rPr>
        <w:t xml:space="preserve">Category 3: Fuel- and energy-related activities (not included in Scope 1 or 2)</w:t>
      </w:r>
      <w:r>
        <w:br/>
      </w:r>
      <w:r>
        <w:t xml:space="preserve">While the production electricity consumption is accounted for in Scope 2, the upstream (well-to-tank) emissions associated with the production of that electricity are implicitly part of the grid emission factor used or would be accounted for here if a specific WTT factor was used. For this report, these are considered embedded within the Scope 2 factor for simplicity as per common PCF practice for operational electricity, or would require dedicated WTT factors if calculated separately.</w:t>
      </w:r>
    </w:p>
    <w:p>
      <w:pPr>
        <w:pStyle w:val="FirstParagraph"/>
      </w:pPr>
      <w:r>
        <w:rPr>
          <w:bCs/>
          <w:b/>
        </w:rPr>
        <w:t xml:space="preserve">Total Upstream Scope 3 Emissions:</w:t>
      </w:r>
      <w:r>
        <w:t xml:space="preserve"> </w:t>
      </w:r>
      <w:r>
        <w:t xml:space="preserve">6.55 + 0.132 = 6.682 kg CO2e</w:t>
      </w:r>
    </w:p>
    <w:bookmarkEnd w:id="31"/>
    <w:bookmarkStart w:id="32" w:name="downstream-emissions"/>
    <w:p>
      <w:pPr>
        <w:pStyle w:val="Heading4"/>
      </w:pPr>
      <w:r>
        <w:t xml:space="preserve">3.3.2. Downstream Emissions</w:t>
      </w:r>
    </w:p>
    <w:p>
      <w:pPr>
        <w:numPr>
          <w:ilvl w:val="0"/>
          <w:numId w:val="1011"/>
        </w:numPr>
        <w:pStyle w:val="Compact"/>
      </w:pPr>
      <w:r>
        <w:rPr>
          <w:bCs/>
          <w:b/>
        </w:rPr>
        <w:t xml:space="preserve">Category 9: Downstream Transportation and Distribution (Product to Customer)</w:t>
      </w:r>
    </w:p>
    <w:p>
      <w:pPr>
        <w:numPr>
          <w:ilvl w:val="1"/>
          <w:numId w:val="1012"/>
        </w:numPr>
        <w:pStyle w:val="Compact"/>
      </w:pPr>
      <w:r>
        <w:t xml:space="preserve">Product Mass for Transport: 1.1 kg (0.0011 tonnes)</w:t>
      </w:r>
    </w:p>
    <w:p>
      <w:pPr>
        <w:numPr>
          <w:ilvl w:val="1"/>
          <w:numId w:val="1012"/>
        </w:numPr>
        <w:pStyle w:val="Compact"/>
      </w:pPr>
      <w:r>
        <w:t xml:space="preserve">Transport Distance (Factory to Distribution Hub): 1500 km</w:t>
      </w:r>
    </w:p>
    <w:p>
      <w:pPr>
        <w:numPr>
          <w:ilvl w:val="1"/>
          <w:numId w:val="1012"/>
        </w:numPr>
        <w:pStyle w:val="Compact"/>
      </w:pPr>
      <w:r>
        <w:t xml:space="preserve">Transport Mode: Road Freight (HGV, &gt;32t)</w:t>
      </w:r>
    </w:p>
    <w:p>
      <w:pPr>
        <w:numPr>
          <w:ilvl w:val="1"/>
          <w:numId w:val="1012"/>
        </w:numPr>
        <w:pStyle w:val="Compact"/>
      </w:pPr>
      <w:r>
        <w:t xml:space="preserve">Emission Factor: 0.08 kg CO2e/tkm</w:t>
      </w:r>
    </w:p>
    <w:p>
      <w:pPr>
        <w:numPr>
          <w:ilvl w:val="1"/>
          <w:numId w:val="1012"/>
        </w:numPr>
        <w:pStyle w:val="Compact"/>
      </w:pPr>
      <w:r>
        <w:rPr>
          <w:bCs/>
          <w:b/>
        </w:rPr>
        <w:t xml:space="preserve">Calculation (Long-haul):</w:t>
      </w:r>
      <w:r>
        <w:t xml:space="preserve"> </w:t>
      </w:r>
      <w:r>
        <w:t xml:space="preserve">0.0011 tonnes * 1500 km * 0.08 kg CO2e/tkm = 0.132 kg CO2e</w:t>
      </w:r>
    </w:p>
    <w:p>
      <w:pPr>
        <w:numPr>
          <w:ilvl w:val="1"/>
          <w:numId w:val="1012"/>
        </w:numPr>
        <w:pStyle w:val="Compact"/>
      </w:pPr>
      <w:r>
        <w:t xml:space="preserve">Last-Mile Delivery:</w:t>
      </w:r>
    </w:p>
    <w:p>
      <w:pPr>
        <w:numPr>
          <w:ilvl w:val="1"/>
          <w:numId w:val="1012"/>
        </w:numPr>
        <w:pStyle w:val="Compact"/>
      </w:pPr>
      <w:r>
        <w:t xml:space="preserve">Last-Mile Delivery Emission Factor: 0.15 kg CO2e/unit</w:t>
      </w:r>
    </w:p>
    <w:p>
      <w:pPr>
        <w:numPr>
          <w:ilvl w:val="1"/>
          <w:numId w:val="1012"/>
        </w:numPr>
        <w:pStyle w:val="Compact"/>
      </w:pPr>
      <w:r>
        <w:rPr>
          <w:bCs/>
          <w:b/>
        </w:rPr>
        <w:t xml:space="preserve">Calculation (Last-Mile):</w:t>
      </w:r>
      <w:r>
        <w:t xml:space="preserve"> </w:t>
      </w:r>
      <w:r>
        <w:t xml:space="preserve">0.15 kg CO2e/unit</w:t>
      </w:r>
    </w:p>
    <w:p>
      <w:pPr>
        <w:numPr>
          <w:ilvl w:val="1"/>
          <w:numId w:val="1012"/>
        </w:numPr>
        <w:pStyle w:val="Compact"/>
      </w:pPr>
      <w:r>
        <w:rPr>
          <w:bCs/>
          <w:b/>
        </w:rPr>
        <w:t xml:space="preserve">Total Downstream Transport Emissions:</w:t>
      </w:r>
      <w:r>
        <w:t xml:space="preserve"> </w:t>
      </w:r>
      <w:r>
        <w:t xml:space="preserve">0.132 + 0.15 = 0.282 kg CO2e</w:t>
      </w:r>
    </w:p>
    <w:p>
      <w:pPr>
        <w:numPr>
          <w:ilvl w:val="0"/>
          <w:numId w:val="1011"/>
        </w:numPr>
        <w:pStyle w:val="Compact"/>
      </w:pPr>
      <w:r>
        <w:rPr>
          <w:bCs/>
          <w:b/>
        </w:rPr>
        <w:t xml:space="preserve">Category 11: Use of Sold Products</w:t>
      </w:r>
    </w:p>
    <w:p>
      <w:pPr>
        <w:numPr>
          <w:ilvl w:val="1"/>
          <w:numId w:val="1013"/>
        </w:numPr>
        <w:pStyle w:val="Compact"/>
      </w:pPr>
      <w:r>
        <w:t xml:space="preserve">Product Lifespan: 5 years</w:t>
      </w:r>
    </w:p>
    <w:p>
      <w:pPr>
        <w:numPr>
          <w:ilvl w:val="1"/>
          <w:numId w:val="1013"/>
        </w:numPr>
        <w:pStyle w:val="Compact"/>
      </w:pPr>
      <w:r>
        <w:t xml:space="preserve">Energy Consumption in Use: 10 kWh/year</w:t>
      </w:r>
    </w:p>
    <w:p>
      <w:pPr>
        <w:numPr>
          <w:ilvl w:val="1"/>
          <w:numId w:val="1013"/>
        </w:numPr>
        <w:pStyle w:val="Compact"/>
      </w:pPr>
      <w:r>
        <w:t xml:space="preserve">Total Energy over Lifespan: 10 kWh/year * 5 years = 50 kWh</w:t>
      </w:r>
    </w:p>
    <w:p>
      <w:pPr>
        <w:numPr>
          <w:ilvl w:val="1"/>
          <w:numId w:val="1013"/>
        </w:numPr>
        <w:pStyle w:val="Compact"/>
      </w:pPr>
      <w:r>
        <w:t xml:space="preserve">Electricity Emission Factor: 0.58 kg CO2e/kWh</w:t>
      </w:r>
    </w:p>
    <w:p>
      <w:pPr>
        <w:numPr>
          <w:ilvl w:val="1"/>
          <w:numId w:val="1013"/>
        </w:numPr>
        <w:pStyle w:val="Compact"/>
      </w:pPr>
      <w:r>
        <w:rPr>
          <w:bCs/>
          <w:b/>
        </w:rPr>
        <w:t xml:space="preserve">Calculation:</w:t>
      </w:r>
      <w:r>
        <w:t xml:space="preserve"> </w:t>
      </w:r>
      <w:r>
        <w:t xml:space="preserve">50 kWh * 0.58 kg CO2e/kWh = 29.0 kg CO2e</w:t>
      </w:r>
    </w:p>
    <w:p>
      <w:pPr>
        <w:numPr>
          <w:ilvl w:val="0"/>
          <w:numId w:val="1011"/>
        </w:numPr>
        <w:pStyle w:val="Compact"/>
      </w:pPr>
      <w:r>
        <w:rPr>
          <w:bCs/>
          <w:b/>
        </w:rPr>
        <w:t xml:space="preserve">Category 12: End-of-Life Treatment of Sold Products</w:t>
      </w:r>
    </w:p>
    <w:p>
      <w:pPr>
        <w:numPr>
          <w:ilvl w:val="1"/>
          <w:numId w:val="1014"/>
        </w:numPr>
        <w:pStyle w:val="Compact"/>
      </w:pPr>
      <w:r>
        <w:t xml:space="preserve">Product Mass at EoL: 1.1 kg</w:t>
      </w:r>
    </w:p>
    <w:p>
      <w:pPr>
        <w:numPr>
          <w:ilvl w:val="1"/>
          <w:numId w:val="1014"/>
        </w:numPr>
        <w:pStyle w:val="Compact"/>
      </w:pPr>
      <w:r>
        <w:t xml:space="preserve">Recyclability Percentage: 80%</w:t>
      </w:r>
    </w:p>
    <w:p>
      <w:pPr>
        <w:numPr>
          <w:ilvl w:val="1"/>
          <w:numId w:val="1014"/>
        </w:numPr>
        <w:pStyle w:val="Compact"/>
      </w:pPr>
      <w:r>
        <w:t xml:space="preserve">Non-recycled Portion: 1.1 kg * (1 - 0.80) = 0.22 kg</w:t>
      </w:r>
    </w:p>
    <w:p>
      <w:pPr>
        <w:numPr>
          <w:ilvl w:val="1"/>
          <w:numId w:val="1014"/>
        </w:numPr>
        <w:pStyle w:val="Compact"/>
      </w:pPr>
      <w:r>
        <w:t xml:space="preserve">Recycled Portion: 1.1 kg * 0.80 = 0.88 kg</w:t>
      </w:r>
    </w:p>
    <w:p>
      <w:pPr>
        <w:numPr>
          <w:ilvl w:val="1"/>
          <w:numId w:val="1014"/>
        </w:numPr>
        <w:pStyle w:val="Compact"/>
      </w:pPr>
      <w:r>
        <w:t xml:space="preserve">Landfill Emissions: 0.22 kg * 1.0 kg CO2e/kg (illustrative) = 0.22 kg CO2e</w:t>
      </w:r>
    </w:p>
    <w:p>
      <w:pPr>
        <w:numPr>
          <w:ilvl w:val="1"/>
          <w:numId w:val="1014"/>
        </w:numPr>
        <w:pStyle w:val="Compact"/>
      </w:pPr>
      <w:r>
        <w:t xml:space="preserve">Avoided Emissions from Recycling: 0.88 kg * (-2.0) kg CO2e/kg (illustrative) = -1.76 kg CO2e</w:t>
      </w:r>
    </w:p>
    <w:p>
      <w:pPr>
        <w:numPr>
          <w:ilvl w:val="1"/>
          <w:numId w:val="1014"/>
        </w:numPr>
        <w:pStyle w:val="Compact"/>
      </w:pPr>
      <w:r>
        <w:rPr>
          <w:bCs/>
          <w:b/>
        </w:rPr>
        <w:t xml:space="preserve">Total EoL Emissions:</w:t>
      </w:r>
      <w:r>
        <w:t xml:space="preserve"> </w:t>
      </w:r>
      <w:r>
        <w:t xml:space="preserve">0.22 - 1.76 = -1.54 kg CO2e</w:t>
      </w:r>
    </w:p>
    <w:p>
      <w:pPr>
        <w:pStyle w:val="FirstParagraph"/>
      </w:pPr>
      <w:r>
        <w:rPr>
          <w:bCs/>
          <w:b/>
        </w:rPr>
        <w:t xml:space="preserve">Total Downstream Scope 3 Emissions:</w:t>
      </w:r>
      <w:r>
        <w:t xml:space="preserve"> </w:t>
      </w:r>
      <w:r>
        <w:t xml:space="preserve">0.282 + 29.0 - 1.54 = 27.742 kg CO2e</w:t>
      </w:r>
    </w:p>
    <w:bookmarkEnd w:id="32"/>
    <w:bookmarkEnd w:id="33"/>
    <w:bookmarkStart w:id="34" w:name="summary-of-emissions-by-scope"/>
    <w:p>
      <w:pPr>
        <w:pStyle w:val="Heading3"/>
      </w:pPr>
      <w:r>
        <w:t xml:space="preserve">3.4.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Life Cycle Stage</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(Operations)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0.87</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6.55</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0.132</w:t>
            </w:r>
          </w:p>
        </w:tc>
      </w:tr>
      <w:tr>
        <w:tc>
          <w:tcPr>
            <w:gridSpan w:val="1"/>
            <w:vMerge w:val="continue"/>
          </w:tcPr>
          <w:p>
            <w:pPr/>
          </w:p>
        </w:tc>
        <w:tc>
          <w:tcPr/>
          <w:p>
            <w:pPr>
              <w:pStyle w:val="Compact"/>
              <w:jc w:val="left"/>
            </w:pPr>
            <w:r>
              <w:t xml:space="preserve">Category 9: Downstream Transportation and Distribution (incl. Last-Mile)</w:t>
            </w:r>
          </w:p>
        </w:tc>
        <w:tc>
          <w:tcPr/>
          <w:p>
            <w:pPr>
              <w:pStyle w:val="Compact"/>
              <w:jc w:val="left"/>
            </w:pPr>
            <w:r>
              <w:t xml:space="preserve">0.282</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29.0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-1.54</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35.294</w:t>
            </w:r>
          </w:p>
        </w:tc>
      </w:tr>
    </w:tbl>
    <w:p>
      <w:r>
        <w:pict>
          <v:rect style="width:0;height:1.5pt" o:hralign="center" o:hrstd="t" o:hr="t"/>
        </w:pict>
      </w:r>
    </w:p>
    <w:bookmarkEnd w:id="34"/>
    <w:bookmarkEnd w:id="35"/>
    <w:bookmarkStart w:id="39" w:name="review-report"/>
    <w:p>
      <w:pPr>
        <w:pStyle w:val="Heading2"/>
      </w:pPr>
      <w:r>
        <w:t xml:space="preserve">4. Review &amp; Report</w:t>
      </w:r>
    </w:p>
    <w:p>
      <w:pPr>
        <w:pStyle w:val="FirstParagraph"/>
      </w:pPr>
      <w:r>
        <w:t xml:space="preserve">The Product Carbon Footprint (PCF) for xygjuryeld is calculated to be</w:t>
      </w:r>
      <w:r>
        <w:t xml:space="preserve"> </w:t>
      </w:r>
      <w:r>
        <w:rPr>
          <w:bCs/>
          <w:b/>
        </w:rPr>
        <w:t xml:space="preserve">35.294 kg CO2e</w:t>
      </w:r>
      <w:r>
        <w:t xml:space="preserve"> </w:t>
      </w:r>
      <w:r>
        <w:t xml:space="preserve">per functional unit. This figure represents the cradle-to-grave impact, excluding direct Scope 1 operational emissions not explicitly tied to the product\'s life cycle.</w:t>
      </w:r>
    </w:p>
    <w:bookmarkStart w:id="36" w:name="hotspot-identification"/>
    <w:p>
      <w:pPr>
        <w:pStyle w:val="Heading3"/>
      </w:pPr>
      <w:r>
        <w:t xml:space="preserve">4.1. Hotspot Identification</w:t>
      </w:r>
    </w:p>
    <w:p>
      <w:pPr>
        <w:pStyle w:val="FirstParagraph"/>
      </w:pPr>
      <w:r>
        <w:t xml:space="preserve">The analysis clearly indicates the following emission hotspots:</w:t>
      </w:r>
    </w:p>
    <w:p>
      <w:pPr>
        <w:numPr>
          <w:ilvl w:val="0"/>
          <w:numId w:val="1015"/>
        </w:numPr>
        <w:pStyle w:val="Compact"/>
      </w:pPr>
      <w:r>
        <w:rPr>
          <w:bCs/>
          <w:b/>
        </w:rPr>
        <w:t xml:space="preserve">Use Phase (Scope 3, Category 11):</w:t>
      </w:r>
      <w:r>
        <w:t xml:space="preserve"> </w:t>
      </w:r>
      <w:r>
        <w:t xml:space="preserve">At 29.0 kg CO2e, the energy consumption during the product\'s 5-year lifespan is by far the largest contributor to the overall PCF. This highlights the critical importance of product energy efficiency and user behavior.</w:t>
      </w:r>
    </w:p>
    <w:p>
      <w:pPr>
        <w:numPr>
          <w:ilvl w:val="0"/>
          <w:numId w:val="1015"/>
        </w:numPr>
        <w:pStyle w:val="Compact"/>
      </w:pPr>
      <w:r>
        <w:rPr>
          <w:bCs/>
          <w:b/>
        </w:rPr>
        <w:t xml:space="preserve">Material Acquisition (Scope 3, Category 1):</w:t>
      </w:r>
      <w:r>
        <w:t xml:space="preserve"> </w:t>
      </w:r>
      <w:r>
        <w:t xml:space="preserve">The production of raw materials, particularly the Aluminum Casing and Circuit Board, contributes 6.55 kg CO2e, making it the second-largest hotspot. Focusing on sustainable sourcing and material efficiency can significantly reduce this impact.</w:t>
      </w:r>
    </w:p>
    <w:p>
      <w:pPr>
        <w:numPr>
          <w:ilvl w:val="0"/>
          <w:numId w:val="1015"/>
        </w:numPr>
        <w:pStyle w:val="Compact"/>
      </w:pPr>
      <w:r>
        <w:rPr>
          <w:bCs/>
          <w:b/>
        </w:rPr>
        <w:t xml:space="preserve">Production Energy (Scope 2):</w:t>
      </w:r>
      <w:r>
        <w:t xml:space="preserve"> </w:t>
      </w:r>
      <w:r>
        <w:t xml:space="preserve">Although "zjdpnsgssk" utilizes 70% renewable energy, the remaining 30% from the grid still contributes 0.87 kg CO2e. Further increasing renewable energy adoption or improving energy efficiency at the factory can reduce this.</w:t>
      </w:r>
    </w:p>
    <w:p>
      <w:pPr>
        <w:numPr>
          <w:ilvl w:val="0"/>
          <w:numId w:val="1015"/>
        </w:numPr>
        <w:pStyle w:val="Compact"/>
      </w:pPr>
      <w:r>
        <w:rPr>
          <w:bCs/>
          <w:b/>
        </w:rPr>
        <w:t xml:space="preserve">End-of-Life Treatment (Scope 3, Category 12):</w:t>
      </w:r>
      <w:r>
        <w:t xml:space="preserve"> </w:t>
      </w:r>
      <w:r>
        <w:t xml:space="preserve">The active take-back program and high recyclability (80%) result in a net negative emission of -1.54 kg CO2e, indicating significant avoided emissions through material recovery and recycling. This is a positive circular economy impact.</w:t>
      </w:r>
    </w:p>
    <w:bookmarkEnd w:id="36"/>
    <w:bookmarkStart w:id="37" w:name="reliability-assessment-limitations"/>
    <w:p>
      <w:pPr>
        <w:pStyle w:val="Heading3"/>
      </w:pPr>
      <w:r>
        <w:t xml:space="preserve">4.2. Reliability Assessment &amp; Limitations</w:t>
      </w:r>
    </w:p>
    <w:p>
      <w:pPr>
        <w:pStyle w:val="FirstParagraph"/>
      </w:pPr>
      <w:r>
        <w:t xml:space="preserve">This report is based on a combination of primary data (Detailed BOM, energy intensity, renewable usage, lifespan, consumption in use, recyclability, circular programs, transport mode, distance, delivery type) and secondary data (emission factors from widely accepted databases and official sources).</w:t>
      </w:r>
    </w:p>
    <w:p>
      <w:pPr>
        <w:numPr>
          <w:ilvl w:val="0"/>
          <w:numId w:val="1016"/>
        </w:numPr>
        <w:pStyle w:val="Compact"/>
      </w:pPr>
      <w:r>
        <w:rPr>
          <w:bCs/>
          <w:b/>
        </w:rPr>
        <w:t xml:space="preserve">Data Quality:</w:t>
      </w:r>
      <w:r>
        <w:t xml:space="preserve"> </w:t>
      </w:r>
      <w:r>
        <w:t xml:space="preserve">The specific "Total Carbon" values provided in the BOM (jxvftqng) for materials significantly enhance accuracy. However, illustrative emission factors were used for transportation and end-of-life scenarios due to the abstract nature of some input parameters (e.g., "Select Mode," "Delivery Type").</w:t>
      </w:r>
    </w:p>
    <w:p>
      <w:pPr>
        <w:numPr>
          <w:ilvl w:val="0"/>
          <w:numId w:val="1016"/>
        </w:numPr>
        <w:pStyle w:val="Compact"/>
      </w:pPr>
      <w:r>
        <w:rPr>
          <w:bCs/>
          <w:b/>
        </w:rPr>
        <w:t xml:space="preserve">Geographic Specificity:</w:t>
      </w:r>
      <w:r>
        <w:t xml:space="preserve"> </w:t>
      </w:r>
      <w:r>
        <w:t xml:space="preserve">While China\'s electricity mix is used for production, a similar factor was assumed for the use phase due to the absence of specific end-user geographic data.</w:t>
      </w:r>
    </w:p>
    <w:p>
      <w:pPr>
        <w:numPr>
          <w:ilvl w:val="0"/>
          <w:numId w:val="1016"/>
        </w:numPr>
        <w:pStyle w:val="Compact"/>
      </w:pPr>
      <w:r>
        <w:rPr>
          <w:bCs/>
          <w:b/>
        </w:rPr>
        <w:t xml:space="preserve">2026 LSR Update:</w:t>
      </w:r>
      <w:r>
        <w:t xml:space="preserve"> </w:t>
      </w:r>
      <w:r>
        <w:t xml:space="preserve">The Land Sector and Removals (LSR) Standard is acknowledged. While direct land-use impacts and carbon removals for this specific product are not explicitly quantified (as typically these apply at an organizational level or for bio-based products with specific land-use changes), the framework for such considerations is noted as critical for overarching corporate GHG reporting.</w:t>
      </w:r>
    </w:p>
    <w:p>
      <w:pPr>
        <w:numPr>
          <w:ilvl w:val="0"/>
          <w:numId w:val="1016"/>
        </w:numPr>
        <w:pStyle w:val="Compact"/>
      </w:pPr>
      <w:r>
        <w:rPr>
          <w:bCs/>
          <w:b/>
        </w:rPr>
        <w:t xml:space="preserve">Scope 3 Coverage:</w:t>
      </w:r>
      <w:r>
        <w:t xml:space="preserve"> </w:t>
      </w:r>
      <w:r>
        <w:t xml:space="preserve">With all major upstream and downstream categories quantified, the report adheres to the 95% Scope 3 coverage requirement.</w:t>
      </w:r>
    </w:p>
    <w:bookmarkEnd w:id="37"/>
    <w:bookmarkStart w:id="38" w:name="recommendations"/>
    <w:p>
      <w:pPr>
        <w:pStyle w:val="Heading3"/>
      </w:pPr>
      <w:r>
        <w:t xml:space="preserve">4.3. Recommendations</w:t>
      </w:r>
    </w:p>
    <w:p>
      <w:pPr>
        <w:pStyle w:val="FirstParagraph"/>
      </w:pPr>
      <w:r>
        <w:t xml:space="preserve">Based on this PCF analysis, the following recommendations are made for "zjdpnsgssk":</w:t>
      </w:r>
    </w:p>
    <w:p>
      <w:pPr>
        <w:numPr>
          <w:ilvl w:val="0"/>
          <w:numId w:val="1017"/>
        </w:numPr>
        <w:pStyle w:val="Compact"/>
      </w:pPr>
      <w:r>
        <w:rPr>
          <w:bCs/>
          <w:b/>
        </w:rPr>
        <w:t xml:space="preserve">Enhance Use Phase Efficiency:</w:t>
      </w:r>
      <w:r>
        <w:t xml:space="preserve"> </w:t>
      </w:r>
      <w:r>
        <w:t xml:space="preserve">Given the dominance of use phase emissions, prioritize design for energy efficiency. Explore lower power components, implement smart energy-saving features, and provide clear guidance to consumers on sustainable product use.</w:t>
      </w:r>
    </w:p>
    <w:p>
      <w:pPr>
        <w:numPr>
          <w:ilvl w:val="0"/>
          <w:numId w:val="1017"/>
        </w:numPr>
        <w:pStyle w:val="Compact"/>
      </w:pPr>
      <w:r>
        <w:rPr>
          <w:bCs/>
          <w:b/>
        </w:rPr>
        <w:t xml:space="preserve">Optimize Material Sourcing:</w:t>
      </w:r>
      <w:r>
        <w:t xml:space="preserve"> </w:t>
      </w:r>
      <w:r>
        <w:t xml:space="preserve">Investigate opportunities for sourcing lower-carbon alternative materials, increasing recycled content in materials like aluminum and plastic, and engaging with suppliers to reduce upstream emissions (Scope 3, Category 1).</w:t>
      </w:r>
    </w:p>
    <w:p>
      <w:pPr>
        <w:numPr>
          <w:ilvl w:val="0"/>
          <w:numId w:val="1017"/>
        </w:numPr>
        <w:pStyle w:val="Compact"/>
      </w:pPr>
      <w:r>
        <w:rPr>
          <w:bCs/>
          <w:b/>
        </w:rPr>
        <w:t xml:space="preserve">Increase Renewable Energy:</w:t>
      </w:r>
      <w:r>
        <w:t xml:space="preserve"> </w:t>
      </w:r>
      <w:r>
        <w:t xml:space="preserve">While 70% renewable usage is commendable, aim for 100% renewable energy in production facilities to eliminate remaining Scope 2 emissions. This could involve direct renewable energy investments or purchasing high-quality renewable energy credits.</w:t>
      </w:r>
    </w:p>
    <w:p>
      <w:pPr>
        <w:numPr>
          <w:ilvl w:val="0"/>
          <w:numId w:val="1017"/>
        </w:numPr>
        <w:pStyle w:val="Compact"/>
      </w:pPr>
      <w:r>
        <w:rPr>
          <w:bCs/>
          <w:b/>
        </w:rPr>
        <w:t xml:space="preserve">Refine Transport Logistics:</w:t>
      </w:r>
      <w:r>
        <w:t xml:space="preserve"> </w:t>
      </w:r>
      <w:r>
        <w:t xml:space="preserve">Explore more efficient transport modes (e.g., rail or sea for long-haul where feasible), optimize load factors, and investigate electrified or lower-emission vehicles for last-mile delivery, especially given the "Europe Focused" supply chain.</w:t>
      </w:r>
    </w:p>
    <w:p>
      <w:pPr>
        <w:numPr>
          <w:ilvl w:val="0"/>
          <w:numId w:val="1017"/>
        </w:numPr>
        <w:pStyle w:val="Compact"/>
      </w:pPr>
      <w:r>
        <w:rPr>
          <w:bCs/>
          <w:b/>
        </w:rPr>
        <w:t xml:space="preserve">Promote Circularity:</w:t>
      </w:r>
      <w:r>
        <w:t xml:space="preserve"> </w:t>
      </w:r>
      <w:r>
        <w:t xml:space="preserve">Continue to strengthen the existing consumer take-back programs and explore innovative circular business models to maximize material recovery and reuse, further enhancing the positive impact at End-of-Life.</w:t>
      </w:r>
    </w:p>
    <w:p>
      <w:r>
        <w:pict>
          <v:rect style="width:0;height:1.5pt" o:hralign="center" o:hrstd="t" o:hr="t"/>
        </w:pict>
      </w:r>
    </w:p>
    <w:p>
      <w:pPr>
        <w:pStyle w:val="FirstParagraph"/>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xygjuryeld</dc:title>
  <dc:creator/>
  <dc:description>Detailed Product Carbon Footprint (PCF) analysis for xygjuryeld by zjdpnsgssk, following GHG Protocol standards and 2026 LSR Update for a comprehensive sustainability assessment.</dc:description>
  <dc:language>en</dc:language>
  <cp:keywords/>
  <dcterms:created xsi:type="dcterms:W3CDTF">2026-05-30T23:55:47Z</dcterms:created>
  <dcterms:modified xsi:type="dcterms:W3CDTF">2026-05-30T23:55:47Z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