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xxwphsdlnh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xxwphsdlnh</w:t>
      </w:r>
    </w:p>
    <w:p>
      <w:pPr>
        <w:pStyle w:val="BodyText"/>
      </w:pPr>
      <w:r>
        <w:rPr>
          <w:bCs/>
          <w:b/>
        </w:rPr>
        <w:t xml:space="preserve">Company:</w:t>
      </w:r>
      <w:r>
        <w:t xml:space="preserve"> </w:t>
      </w:r>
      <w:r>
        <w:t xml:space="preserve">okhxmmwnfg</w:t>
      </w:r>
    </w:p>
    <w:p>
      <w:pPr>
        <w:pStyle w:val="BodyText"/>
      </w:pPr>
      <w:r>
        <w:rPr>
          <w:bCs/>
          <w:b/>
        </w:rPr>
        <w:t xml:space="preserve">Senior Sustainability Consultant:</w:t>
      </w:r>
      <w:r>
        <w:t xml:space="preserve"> </w:t>
      </w:r>
      <w:r>
        <w:t xml:space="preserve">xmlsjnqqkp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Numerical values for placeholder parameters have been assumed for illustrative purposes to demonstrate the calculation methodology. Actual results may vary with primary data.</w:t>
      </w:r>
    </w:p>
    <w:bookmarkEnd w:id="20"/>
    <w:bookmarkStart w:id="21" w:name="X9f9d9e1cbc7b8c1a6706591b1de7765ec8fb085"/>
    <w:p>
      <w:pPr>
        <w:pStyle w:val="Heading1"/>
      </w:pPr>
      <w:r>
        <w:t xml:space="preserve">Product Carbon Footprint Report: xxwphsdlnh</w:t>
      </w:r>
    </w:p>
    <w:p>
      <w:pPr>
        <w:pStyle w:val="FirstParagraph"/>
      </w:pPr>
      <w:r>
        <w:t xml:space="preserve">Generated Date: May 25,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xxwphsdlnh, manufactured by okhxmmwnfg. The analysis adheres to the Greenhouse Gas (GHG) Protocol, including considerations for the upcoming 2026 Land Sector and Removals (LSR) Standard update and the stringent 95% Scope 3 coverage requirements. Led by Senior Sustainability Consultant xmlsjnqqkp, this assessment provides a comprehensive overview of the product\'s environmental impact across its lifecycle, from raw material acquisition to end-of-life. Due to the placeholder nature of several input parameters, numerical calculations for specific lifecycle phases are based on reasonable assumptions and industry average emission factors, which are explicitly stated for transparency. The aim is to identify key emission hotspots and provide a robust framework for future decarbonization strategies.</w:t>
      </w:r>
    </w:p>
    <w:p>
      <w:r>
        <w:pict>
          <v:rect style="width:0;height:1.5pt" o:hralign="center" o:hrstd="t" o:hr="t"/>
        </w:pict>
      </w:r>
    </w:p>
    <w:bookmarkEnd w:id="22"/>
    <w:bookmarkStart w:id="25" w:name="methodology"/>
    <w:p>
      <w:pPr>
        <w:pStyle w:val="Heading2"/>
      </w:pPr>
      <w:r>
        <w:t xml:space="preserve">2. Methodology</w:t>
      </w:r>
    </w:p>
    <w:p>
      <w:pPr>
        <w:pStyle w:val="FirstParagraph"/>
      </w:pPr>
      <w:r>
        <w:t xml:space="preserve">The Product Carbon Footprint (PCF) analysis was performed following the five-step methodology prescribed by the GHG Protocol Product Standard, complemented by the Corporate Standard for scope categorization. This approach ensures a systematic and comprehensive assessment of greenhouse gas emissions throughout the product\'s lifecycle.</w:t>
      </w:r>
    </w:p>
    <w:p>
      <w:pPr>
        <w:numPr>
          <w:ilvl w:val="0"/>
          <w:numId w:val="1001"/>
        </w:numPr>
        <w:pStyle w:val="Compact"/>
      </w:pPr>
      <w:r>
        <w:rPr>
          <w:bCs/>
          <w:b/>
        </w:rPr>
        <w:t xml:space="preserve">1. Define Scope:</w:t>
      </w:r>
      <w:r>
        <w:t xml:space="preserve"> </w:t>
      </w:r>
      <w:r>
        <w:t xml:space="preserve">Establishment of functional unit, system boundaries, geographic scope, and allocation rules.</w:t>
      </w:r>
    </w:p>
    <w:p>
      <w:pPr>
        <w:numPr>
          <w:ilvl w:val="0"/>
          <w:numId w:val="1001"/>
        </w:numPr>
        <w:pStyle w:val="Compact"/>
      </w:pPr>
      <w:r>
        <w:rPr>
          <w:bCs/>
          <w:b/>
        </w:rPr>
        <w:t xml:space="preserve">2. Map Lifecycle:</w:t>
      </w:r>
      <w:r>
        <w:t xml:space="preserve"> </w:t>
      </w:r>
      <w:r>
        <w:t xml:space="preserve">Identification of all relevant lifecycle stages and associated processes (Life Cycle Inventory - LCI).</w:t>
      </w:r>
    </w:p>
    <w:p>
      <w:pPr>
        <w:numPr>
          <w:ilvl w:val="0"/>
          <w:numId w:val="1001"/>
        </w:numPr>
        <w:pStyle w:val="Compact"/>
      </w:pPr>
      <w:r>
        <w:rPr>
          <w:bCs/>
          <w:b/>
        </w:rPr>
        <w:t xml:space="preserve">3. Collect Data:</w:t>
      </w:r>
      <w:r>
        <w:t xml:space="preserve"> </w:t>
      </w:r>
      <w:r>
        <w:t xml:space="preserve">Gathering of primary and secondary data points for material inputs, energy consumption, transportation, and end-of-life scenarios.</w:t>
      </w:r>
    </w:p>
    <w:p>
      <w:pPr>
        <w:numPr>
          <w:ilvl w:val="0"/>
          <w:numId w:val="1001"/>
        </w:numPr>
        <w:pStyle w:val="Compact"/>
      </w:pPr>
      <w:r>
        <w:rPr>
          <w:bCs/>
          <w:b/>
        </w:rPr>
        <w:t xml:space="preserve">4. Calculate Emissions:</w:t>
      </w:r>
      <w:r>
        <w:t xml:space="preserve"> </w:t>
      </w:r>
      <w:r>
        <w:t xml:space="preserve">Quantification of emissions by multiplying activity data by relevant emission factors to derive CO2e values.</w:t>
      </w:r>
    </w:p>
    <w:p>
      <w:pPr>
        <w:numPr>
          <w:ilvl w:val="0"/>
          <w:numId w:val="1001"/>
        </w:numPr>
        <w:pStyle w:val="Compact"/>
      </w:pPr>
      <w:r>
        <w:rPr>
          <w:bCs/>
          <w:b/>
        </w:rPr>
        <w:t xml:space="preserve">5. Review &amp; Report:</w:t>
      </w:r>
      <w:r>
        <w:t xml:space="preserve"> </w:t>
      </w:r>
      <w:r>
        <w:t xml:space="preserve">Analysis of results, identification of emission hotspots, assessment of data reliability, and presentation of findings.</w:t>
      </w:r>
    </w:p>
    <w:bookmarkStart w:id="23" w:name="accounting-standard-and-compliance"/>
    <w:p>
      <w:pPr>
        <w:pStyle w:val="Heading3"/>
      </w:pPr>
      <w:r>
        <w:t xml:space="preserve">2.1 Accounting Standard and Compliance</w:t>
      </w:r>
    </w:p>
    <w:p>
      <w:pPr>
        <w:pStyle w:val="FirstParagraph"/>
      </w:pPr>
      <w:r>
        <w:t xml:space="preserve">The PCF analysis is conducted in strict accordance with the **GHG Protocol**. This widely recognized international standard provides methodologies for quantifying and reporting greenhouse gas emissions. Emissions are categorized into three scopes:</w:t>
      </w:r>
    </w:p>
    <w:p>
      <w:pPr>
        <w:numPr>
          <w:ilvl w:val="0"/>
          <w:numId w:val="1002"/>
        </w:numPr>
        <w:pStyle w:val="Compact"/>
      </w:pPr>
      <w:r>
        <w:rPr>
          <w:bCs/>
          <w:b/>
        </w:rPr>
        <w:t xml:space="preserve">Scope 1: Direct Emissions</w:t>
      </w:r>
      <w:r>
        <w:t xml:space="preserve"> </w:t>
      </w:r>
      <w:r>
        <w:t xml:space="preserve">– Emissions from sources owned or controlled by okhxmmwnfg (e.g., on-site fuel combustion).</w:t>
      </w:r>
    </w:p>
    <w:p>
      <w:pPr>
        <w:numPr>
          <w:ilvl w:val="0"/>
          <w:numId w:val="1002"/>
        </w:numPr>
        <w:pStyle w:val="Compact"/>
      </w:pPr>
      <w:r>
        <w:rPr>
          <w:bCs/>
          <w:b/>
        </w:rPr>
        <w:t xml:space="preserve">Scope 2: Indirect Emissions from Purchased Energy</w:t>
      </w:r>
      <w:r>
        <w:t xml:space="preserve"> </w:t>
      </w:r>
      <w:r>
        <w:t xml:space="preserve">– Emissions from the generation of purchased electricity, heat, or steam consumed by okhxmmwnfg.</w:t>
      </w:r>
    </w:p>
    <w:p>
      <w:pPr>
        <w:numPr>
          <w:ilvl w:val="0"/>
          <w:numId w:val="1002"/>
        </w:numPr>
        <w:pStyle w:val="Compact"/>
      </w:pPr>
      <w:r>
        <w:rPr>
          <w:bCs/>
          <w:b/>
        </w:rPr>
        <w:t xml:space="preserve">Scope 3: Other Indirect Emissions (Value Chain Emissions)</w:t>
      </w:r>
      <w:r>
        <w:t xml:space="preserve"> </w:t>
      </w:r>
      <w:r>
        <w:t xml:space="preserve">– All other indirect emissions occurring in the value chain, both upstream and downstream, not included in Scope 2. This typically constitutes the largest portion of a product\'s carbon footprint.</w:t>
      </w:r>
    </w:p>
    <w:p>
      <w:pPr>
        <w:pStyle w:val="FirstParagraph"/>
      </w:pPr>
      <w:r>
        <w:rPr>
          <w:bCs/>
          <w:b/>
        </w:rPr>
        <w:t xml:space="preserve">2026 Land Sector and Removals (LSR) Standard Update:</w:t>
      </w:r>
      <w:r>
        <w:t xml:space="preserve"> </w:t>
      </w:r>
      <w:r>
        <w:t xml:space="preserve">While the LSR Standard officially takes effect on January 1, 2027, its principles for accounting for land-related emissions and carbon removals are incorporated where relevant for forward-looking reporting. The LSR Standard, published January 30, 2026, aims to provide clear requirements and guidance for companies with significant land sector activities or those reporting CO2 removals. The accompanying guidance is expected in Q2 2026.</w:t>
      </w:r>
    </w:p>
    <w:p>
      <w:pPr>
        <w:pStyle w:val="BodyText"/>
      </w:pPr>
      <w:r>
        <w:rPr>
          <w:bCs/>
          <w:b/>
        </w:rPr>
        <w:t xml:space="preserve">Scope 3 Compliance (95% Coverage):</w:t>
      </w:r>
      <w:r>
        <w:t xml:space="preserve"> </w:t>
      </w:r>
      <w:r>
        <w:t xml:space="preserve">As per the proposed 2026 GHG Protocol revisions, this analysis aims to ensure at least 95% coverage for total relevant Scope 3 emissions. This stricter requirement aims to eliminate selective reporting and enhance the completeness and credibility of value chain emissions disclosures.</w:t>
      </w:r>
    </w:p>
    <w:bookmarkEnd w:id="23"/>
    <w:bookmarkStart w:id="24" w:name="scope-definition"/>
    <w:p>
      <w:pPr>
        <w:pStyle w:val="Heading3"/>
      </w:pPr>
      <w:r>
        <w:t xml:space="preserve">2.2 Scope Definition</w:t>
      </w:r>
    </w:p>
    <w:p>
      <w:pPr>
        <w:numPr>
          <w:ilvl w:val="0"/>
          <w:numId w:val="1003"/>
        </w:numPr>
        <w:pStyle w:val="Compact"/>
      </w:pPr>
      <w:r>
        <w:rPr>
          <w:bCs/>
          <w:b/>
        </w:rPr>
        <w:t xml:space="preserve">Functional Unit:</w:t>
      </w:r>
      <w:r>
        <w:t xml:space="preserve"> </w:t>
      </w:r>
      <w:r>
        <w:t xml:space="preserve">1.0 unit of xxwphsdlnh.</w:t>
      </w:r>
    </w:p>
    <w:p>
      <w:pPr>
        <w:numPr>
          <w:ilvl w:val="0"/>
          <w:numId w:val="1003"/>
        </w:numPr>
        <w:pStyle w:val="Compact"/>
      </w:pPr>
      <w:r>
        <w:rPr>
          <w:bCs/>
          <w:b/>
        </w:rPr>
        <w:t xml:space="preserve">System Boundary:</w:t>
      </w:r>
      <w:r>
        <w:t xml:space="preserve"> </w:t>
      </w:r>
      <w:r>
        <w:t xml:space="preserve">Factory-gate (cradle-to-gate) for direct operational control, extended to cradle-to-grave for value chain impacts.</w:t>
      </w:r>
    </w:p>
    <w:p>
      <w:pPr>
        <w:numPr>
          <w:ilvl w:val="0"/>
          <w:numId w:val="1003"/>
        </w:numPr>
        <w:pStyle w:val="Compact"/>
      </w:pPr>
      <w:r>
        <w:rPr>
          <w:bCs/>
          <w:b/>
        </w:rPr>
        <w:t xml:space="preserve">Geographic Scope:</w:t>
      </w:r>
      <w:r>
        <w:t xml:space="preserve"> </w:t>
      </w:r>
      <w:r>
        <w:t xml:space="preserve">Final Production Country: China, Supply Chain Focus: Europe Focused (for upstream material sourcing and downstream distribution/use phase).</w:t>
      </w:r>
    </w:p>
    <w:p>
      <w:pPr>
        <w:numPr>
          <w:ilvl w:val="0"/>
          <w:numId w:val="1003"/>
        </w:numPr>
        <w:pStyle w:val="Compact"/>
      </w:pPr>
      <w:r>
        <w:rPr>
          <w:bCs/>
          <w:b/>
        </w:rPr>
        <w:t xml:space="preserve">Allocation:</w:t>
      </w:r>
      <w:r>
        <w:t xml:space="preserve"> </w:t>
      </w:r>
      <w:r>
        <w:t xml:space="preserve">All emissions are allocated entirely to the functional unit as this is a product-specific PCF analysis.</w:t>
      </w:r>
    </w:p>
    <w:p>
      <w:r>
        <w:pict>
          <v:rect style="width:0;height:1.5pt" o:hralign="center" o:hrstd="t" o:hr="t"/>
        </w:pict>
      </w:r>
    </w:p>
    <w:bookmarkEnd w:id="24"/>
    <w:bookmarkEnd w:id="25"/>
    <w:bookmarkStart w:id="32" w:name="lifecycle-inventory-data-collection"/>
    <w:p>
      <w:pPr>
        <w:pStyle w:val="Heading2"/>
      </w:pPr>
      <w:r>
        <w:t xml:space="preserve">3. Lifecycle Inventory &amp; Data Collection</w:t>
      </w:r>
    </w:p>
    <w:p>
      <w:pPr>
        <w:pStyle w:val="FirstParagraph"/>
      </w:pPr>
      <w:r>
        <w:t xml:space="preserve">Data collection involved both primary data (where available) and secondary data from industry-standard databases like Ecoinvent and DEFRA for emission factors. Given the placeholder nature of several specific parameters in the request, numerical values have been reasonably assumed for illustrative purposes, and these assumptions are clearly noted.</w:t>
      </w:r>
    </w:p>
    <w:bookmarkStart w:id="27" w:name="X64dc587e452015f9e0911657ac06eb0a67d6b45"/>
    <w:p>
      <w:pPr>
        <w:pStyle w:val="Heading3"/>
      </w:pPr>
      <w:r>
        <w:t xml:space="preserve">3.1 Detailed Bill of Materials (BOM) Analysis (Scope 3 - Upstream)</w:t>
      </w:r>
    </w:p>
    <w:p>
      <w:pPr>
        <w:pStyle w:val="FirstParagraph"/>
      </w:pPr>
      <w:r>
        <w:t xml:space="preserve">The Bill of Materials (BOM) provides a high-accuracy basis for calculating the material impact. As the BOM data `liljyzih` was provided as a placeholder, a representative sample BOM for a typical electronic product of similar complexity (xxwphsdlnh) has been assumed to demonstrate the calculation.</w:t>
      </w:r>
    </w:p>
    <w:bookmarkStart w:id="26" w:name="assumption-sample-bom-for-xxwphsdlnh"/>
    <w:p>
      <w:pPr>
        <w:pStyle w:val="Heading4"/>
      </w:pPr>
      <w:r>
        <w:t xml:space="preserve">Assumption: Sample BOM for xxwphsdlnh</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gridSpan w:val="7"/>
          </w:tcPr>
          <w:p>
            <w:pPr>
              <w:pStyle w:val="Compact"/>
              <w:jc w:val="right"/>
            </w:pPr>
            <w:r>
              <w:t xml:space="preserve">Total Emissions from Materials:</w:t>
            </w:r>
          </w:p>
        </w:tc>
        <w:tc>
          <w:tcPr/>
          <w:p>
            <w:pPr>
              <w:pStyle w:val="Compact"/>
              <w:jc w:val="left"/>
            </w:pPr>
            <w:r>
              <w:t xml:space="preserve">3.60 kgCO2e</w:t>
            </w:r>
          </w:p>
        </w:tc>
      </w:tr>
    </w:tbl>
    <w:p>
      <w:pPr>
        <w:pStyle w:val="BodyText"/>
      </w:pPr>
      <w:r>
        <w:rPr>
          <w:iCs/>
          <w:i/>
        </w:rPr>
        <w:t xml:space="preserve">Note: The "Emission Factor" and "Total Carbon" values in this table are illustrative and assumed based on generic industry data for the purpose of demonstrating calculations, as specific numerical BOM data was not provided for `liljyzih`.</w:t>
      </w:r>
    </w:p>
    <w:bookmarkEnd w:id="26"/>
    <w:bookmarkEnd w:id="27"/>
    <w:bookmarkStart w:id="28" w:name="X3445f7daf2d29b3939d528b442b040022faee5d"/>
    <w:p>
      <w:pPr>
        <w:pStyle w:val="Heading3"/>
      </w:pPr>
      <w:r>
        <w:t xml:space="preserve">3.2 Energy Inputs (Production Phase - Scope 2 &amp; 1)</w:t>
      </w:r>
    </w:p>
    <w:p>
      <w:pPr>
        <w:pStyle w:val="FirstParagraph"/>
      </w:pPr>
      <w:r>
        <w:t xml:space="preserve">Energy consumption during the manufacturing of xxwphsdlnh directly contributes to the PCF.</w:t>
      </w:r>
    </w:p>
    <w:p>
      <w:pPr>
        <w:numPr>
          <w:ilvl w:val="0"/>
          <w:numId w:val="1004"/>
        </w:numPr>
        <w:pStyle w:val="Compact"/>
      </w:pPr>
      <w:r>
        <w:rPr>
          <w:bCs/>
          <w:b/>
        </w:rPr>
        <w:t xml:space="preserve">Energy Intensity (`nssuwztemm`):</w:t>
      </w:r>
      <w:r>
        <w:t xml:space="preserve"> </w:t>
      </w:r>
      <w:r>
        <w:t xml:space="preserve">Assumed 10 kWh/unit for the production of xxwphsdlnh.</w:t>
      </w:r>
    </w:p>
    <w:p>
      <w:pPr>
        <w:numPr>
          <w:ilvl w:val="0"/>
          <w:numId w:val="1004"/>
        </w:numPr>
        <w:pStyle w:val="Compact"/>
      </w:pPr>
      <w:r>
        <w:rPr>
          <w:bCs/>
          <w:b/>
        </w:rPr>
        <w:t xml:space="preserve">Renewable Energy Usage (`wejfspqtpo`):</w:t>
      </w:r>
      <w:r>
        <w:t xml:space="preserve"> </w:t>
      </w:r>
      <w:r>
        <w:t xml:space="preserve">Assumed 50% renewable electricity usage at the production facility in China.</w:t>
      </w:r>
    </w:p>
    <w:p>
      <w:pPr>
        <w:numPr>
          <w:ilvl w:val="0"/>
          <w:numId w:val="1004"/>
        </w:numPr>
        <w:pStyle w:val="Compact"/>
      </w:pPr>
      <w:r>
        <w:rPr>
          <w:bCs/>
          <w:b/>
        </w:rPr>
        <w:t xml:space="preserve">China Grid Emission Factor:</w:t>
      </w:r>
      <w:r>
        <w:t xml:space="preserve"> </w:t>
      </w:r>
      <w:r>
        <w:t xml:space="preserve">Assumed 0.6 kgCO2e/kWh for the non-renewable portion of electricity in China (representative of average grid mix including CO2, CH4, N2O, considering regional variations).</w:t>
      </w:r>
    </w:p>
    <w:bookmarkEnd w:id="28"/>
    <w:bookmarkStart w:id="29" w:name="X868c37c7a6a42bd7152ce7cd46aff1eec36c0bd"/>
    <w:p>
      <w:pPr>
        <w:pStyle w:val="Heading3"/>
      </w:pPr>
      <w:r>
        <w:t xml:space="preserve">3.3 Logistics Data (Scope 3 - Upstream &amp; Downstream)</w:t>
      </w:r>
    </w:p>
    <w:p>
      <w:pPr>
        <w:pStyle w:val="FirstParagraph"/>
      </w:pPr>
      <w:r>
        <w:t xml:space="preserve">Transportation of materials to the factory and the finished product to the customer are significant contributors. The `Transport Mode`, `Transport Distance`, and `Last-Mile Delivery Channel` were provided as placeholders; therefore, representative scenarios and distances are assumed.</w:t>
      </w:r>
    </w:p>
    <w:p>
      <w:pPr>
        <w:numPr>
          <w:ilvl w:val="0"/>
          <w:numId w:val="1005"/>
        </w:numPr>
        <w:pStyle w:val="Compact"/>
      </w:pPr>
      <w:r>
        <w:rPr>
          <w:bCs/>
          <w:b/>
        </w:rPr>
        <w:t xml:space="preserve">Product Weight:</w:t>
      </w:r>
      <w:r>
        <w:t xml:space="preserve"> </w:t>
      </w:r>
      <w:r>
        <w:t xml:space="preserve">Assumed 1 kg/unit for transportation calculations.</w:t>
      </w:r>
    </w:p>
    <w:p>
      <w:pPr>
        <w:numPr>
          <w:ilvl w:val="0"/>
          <w:numId w:val="1005"/>
        </w:numPr>
        <w:pStyle w:val="Compact"/>
      </w:pPr>
      <w:r>
        <w:rPr>
          <w:bCs/>
          <w:b/>
        </w:rPr>
        <w:t xml:space="preserve">Upstream Transport (Materials from Europe to China):</w:t>
      </w:r>
    </w:p>
    <w:p>
      <w:pPr>
        <w:numPr>
          <w:ilvl w:val="1"/>
          <w:numId w:val="1006"/>
        </w:numPr>
        <w:pStyle w:val="Compact"/>
      </w:pPr>
      <w:r>
        <w:rPr>
          <w:bCs/>
          <w:b/>
        </w:rPr>
        <w:t xml:space="preserve">Mode:</w:t>
      </w:r>
      <w:r>
        <w:t xml:space="preserve"> </w:t>
      </w:r>
      <w:r>
        <w:t xml:space="preserve">Ocean Freight (Long Haul) then Road (Heavy Goods Vehicle - HGV).</w:t>
      </w:r>
    </w:p>
    <w:p>
      <w:pPr>
        <w:numPr>
          <w:ilvl w:val="1"/>
          <w:numId w:val="1006"/>
        </w:numPr>
        <w:pStyle w:val="Compact"/>
      </w:pPr>
      <w:r>
        <w:rPr>
          <w:bCs/>
          <w:b/>
        </w:rPr>
        <w:t xml:space="preserve">Distance:</w:t>
      </w:r>
      <w:r>
        <w:t xml:space="preserve"> </w:t>
      </w:r>
      <w:r>
        <w:t xml:space="preserve">Assumed `mtmirjllod` for material transport as 15,000 km (Ocean) + 500 km (Road, within China).</w:t>
      </w:r>
    </w:p>
    <w:p>
      <w:pPr>
        <w:numPr>
          <w:ilvl w:val="1"/>
          <w:numId w:val="1006"/>
        </w:numPr>
        <w:pStyle w:val="Compact"/>
      </w:pPr>
      <w:r>
        <w:rPr>
          <w:bCs/>
          <w:b/>
        </w:rPr>
        <w:t xml:space="preserve">Emission Factors:</w:t>
      </w:r>
    </w:p>
    <w:p>
      <w:pPr>
        <w:numPr>
          <w:ilvl w:val="2"/>
          <w:numId w:val="1007"/>
        </w:numPr>
        <w:pStyle w:val="Compact"/>
      </w:pPr>
      <w:r>
        <w:t xml:space="preserve">Ocean Freight (container ship): 0.01 kgCO2e/tonne-km (assumed industry average).</w:t>
      </w:r>
    </w:p>
    <w:p>
      <w:pPr>
        <w:numPr>
          <w:ilvl w:val="2"/>
          <w:numId w:val="1007"/>
        </w:numPr>
        <w:pStyle w:val="Compact"/>
      </w:pPr>
      <w:r>
        <w:t xml:space="preserve">Road (HGV, diesel, 0% laden, Europe/China): 0.07 kgCO2e/tonne-km (assumed average for loaded HGV, derived from DEFRA-like factors for general freight).</w:t>
      </w:r>
    </w:p>
    <w:p>
      <w:pPr>
        <w:numPr>
          <w:ilvl w:val="0"/>
          <w:numId w:val="1005"/>
        </w:numPr>
        <w:pStyle w:val="Compact"/>
      </w:pPr>
      <w:r>
        <w:rPr>
          <w:bCs/>
          <w:b/>
        </w:rPr>
        <w:t xml:space="preserve">Downstream Transport (Product from China to Customer in Europe):</w:t>
      </w:r>
    </w:p>
    <w:p>
      <w:pPr>
        <w:numPr>
          <w:ilvl w:val="1"/>
          <w:numId w:val="1008"/>
        </w:numPr>
        <w:pStyle w:val="Compact"/>
      </w:pPr>
      <w:r>
        <w:rPr>
          <w:bCs/>
          <w:b/>
        </w:rPr>
        <w:t xml:space="preserve">Mode:</w:t>
      </w:r>
      <w:r>
        <w:t xml:space="preserve"> </w:t>
      </w:r>
      <w:r>
        <w:t xml:space="preserve">Ocean Freight (China to Europe) then Road (Van - Last-Mile).</w:t>
      </w:r>
    </w:p>
    <w:p>
      <w:pPr>
        <w:numPr>
          <w:ilvl w:val="1"/>
          <w:numId w:val="1008"/>
        </w:numPr>
        <w:pStyle w:val="Compact"/>
      </w:pPr>
      <w:r>
        <w:rPr>
          <w:bCs/>
          <w:b/>
        </w:rPr>
        <w:t xml:space="preserve">Distance:</w:t>
      </w:r>
      <w:r>
        <w:t xml:space="preserve"> </w:t>
      </w:r>
      <w:r>
        <w:t xml:space="preserve">Assumed 15,000 km (Ocean) + 50 km (Road - Last-Mile in Europe).</w:t>
      </w:r>
    </w:p>
    <w:p>
      <w:pPr>
        <w:numPr>
          <w:ilvl w:val="1"/>
          <w:numId w:val="1008"/>
        </w:numPr>
        <w:pStyle w:val="Compact"/>
      </w:pPr>
      <w:r>
        <w:rPr>
          <w:bCs/>
          <w:b/>
        </w:rPr>
        <w:t xml:space="preserve">Emission Factors:</w:t>
      </w:r>
    </w:p>
    <w:p>
      <w:pPr>
        <w:numPr>
          <w:ilvl w:val="2"/>
          <w:numId w:val="1009"/>
        </w:numPr>
        <w:pStyle w:val="Compact"/>
      </w:pPr>
      <w:r>
        <w:t xml:space="preserve">Ocean Freight (container ship): 0.01 kgCO2e/tonne-km.</w:t>
      </w:r>
    </w:p>
    <w:p>
      <w:pPr>
        <w:numPr>
          <w:ilvl w:val="2"/>
          <w:numId w:val="1009"/>
        </w:numPr>
        <w:pStyle w:val="Compact"/>
      </w:pPr>
      <w:r>
        <w:t xml:space="preserve">Road (Van, diesel, Last-Mile, Europe): 0.23 kgCO2e/km (per vehicle-km, taken as a proxy for per unit-km for light deliveries).</w:t>
      </w:r>
    </w:p>
    <w:bookmarkEnd w:id="29"/>
    <w:bookmarkStart w:id="30" w:name="X33261a417f49561c54edeba4ab91b6015ca7f91"/>
    <w:p>
      <w:pPr>
        <w:pStyle w:val="Heading3"/>
      </w:pPr>
      <w:r>
        <w:t xml:space="preserve">3.4 Use Phase Calculation (Scope 3 - Downstream)</w:t>
      </w:r>
    </w:p>
    <w:p>
      <w:pPr>
        <w:pStyle w:val="FirstParagraph"/>
      </w:pPr>
      <w:r>
        <w:t xml:space="preserve">Emissions generated during the product\'s lifespan are critical, especially for electronic devices. `Product Lifespan` and `Energy Consumption in Use` were placeholders, so representative values are assumed.</w:t>
      </w:r>
    </w:p>
    <w:p>
      <w:pPr>
        <w:numPr>
          <w:ilvl w:val="0"/>
          <w:numId w:val="1010"/>
        </w:numPr>
        <w:pStyle w:val="Compact"/>
      </w:pPr>
      <w:r>
        <w:rPr>
          <w:bCs/>
          <w:b/>
        </w:rPr>
        <w:t xml:space="preserve">Product Lifespan (`euojhdgtjs`):</w:t>
      </w:r>
      <w:r>
        <w:t xml:space="preserve"> </w:t>
      </w:r>
      <w:r>
        <w:t xml:space="preserve">Assumed 5 years for xxwphsdlnh (typical for consumer electronics).</w:t>
      </w:r>
    </w:p>
    <w:p>
      <w:pPr>
        <w:numPr>
          <w:ilvl w:val="0"/>
          <w:numId w:val="1010"/>
        </w:numPr>
        <w:pStyle w:val="Compact"/>
      </w:pPr>
      <w:r>
        <w:rPr>
          <w:bCs/>
          <w:b/>
        </w:rPr>
        <w:t xml:space="preserve">Energy Consumption in Use (`lkxnlyygqp`):</w:t>
      </w:r>
      <w:r>
        <w:t xml:space="preserve"> </w:t>
      </w:r>
      <w:r>
        <w:t xml:space="preserve">Assumed 20 kWh/year (e.g., for charging, standby, or active use of a small electronic device).</w:t>
      </w:r>
    </w:p>
    <w:p>
      <w:pPr>
        <w:numPr>
          <w:ilvl w:val="0"/>
          <w:numId w:val="1010"/>
        </w:numPr>
        <w:pStyle w:val="Compact"/>
      </w:pPr>
      <w:r>
        <w:rPr>
          <w:bCs/>
          <w:b/>
        </w:rPr>
        <w:t xml:space="preserve">European Grid Emission Factor:</w:t>
      </w:r>
      <w:r>
        <w:t xml:space="preserve"> </w:t>
      </w:r>
      <w:r>
        <w:t xml:space="preserve">Assumed 0.25 kgCO2e/kWh (generic average for European electricity mix).</w:t>
      </w:r>
    </w:p>
    <w:bookmarkEnd w:id="30"/>
    <w:bookmarkStart w:id="31" w:name="X2449e76f36fce2c9fec3c701a472f020b80894d"/>
    <w:p>
      <w:pPr>
        <w:pStyle w:val="Heading3"/>
      </w:pPr>
      <w:r>
        <w:t xml:space="preserve">3.5 End-of-Life (EoL) Scenarios (Scope 3 - Downstream)</w:t>
      </w:r>
    </w:p>
    <w:p>
      <w:pPr>
        <w:pStyle w:val="FirstParagraph"/>
      </w:pPr>
      <w:r>
        <w:t xml:space="preserve">The end-of-life treatment significantly influences the overall PCF, particularly with circular economy considerations. `Recyclability Percentage` and `Circular/Take-back Programs` were placeholders.</w:t>
      </w:r>
    </w:p>
    <w:p>
      <w:pPr>
        <w:numPr>
          <w:ilvl w:val="0"/>
          <w:numId w:val="1011"/>
        </w:numPr>
        <w:pStyle w:val="Compact"/>
      </w:pPr>
      <w:r>
        <w:rPr>
          <w:bCs/>
          <w:b/>
        </w:rPr>
        <w:t xml:space="preserve">Recyclability Percentage (`zyripmxzke`):</w:t>
      </w:r>
      <w:r>
        <w:t xml:space="preserve"> </w:t>
      </w:r>
      <w:r>
        <w:t xml:space="preserve">Assumed 70% of the product\'s mass is recyclable.</w:t>
      </w:r>
    </w:p>
    <w:p>
      <w:pPr>
        <w:numPr>
          <w:ilvl w:val="0"/>
          <w:numId w:val="1011"/>
        </w:numPr>
        <w:pStyle w:val="Compact"/>
      </w:pPr>
      <w:r>
        <w:rPr>
          <w:bCs/>
          <w:b/>
        </w:rPr>
        <w:t xml:space="preserve">Circular/Take-back Programs (`qqqyjhxpos`):</w:t>
      </w:r>
      <w:r>
        <w:t xml:space="preserve"> </w:t>
      </w:r>
      <w:r>
        <w:t xml:space="preserve">Assumed "Active Take-back Program in Europe" is in place, enabling effective recycling.</w:t>
      </w:r>
    </w:p>
    <w:p>
      <w:pPr>
        <w:numPr>
          <w:ilvl w:val="0"/>
          <w:numId w:val="1011"/>
        </w:numPr>
        <w:pStyle w:val="Compact"/>
      </w:pPr>
      <w:r>
        <w:rPr>
          <w:bCs/>
          <w:b/>
        </w:rPr>
        <w:t xml:space="preserve">Avoided Emissions Factor (Recycling):</w:t>
      </w:r>
      <w:r>
        <w:t xml:space="preserve"> </w:t>
      </w:r>
      <w:r>
        <w:t xml:space="preserve">Assumed -1.0 kgCO2e/kg for recycled materials compared to virgin production (illustrative average for materials like plastics and metals).</w:t>
      </w:r>
    </w:p>
    <w:p>
      <w:r>
        <w:pict>
          <v:rect style="width:0;height:1.5pt" o:hralign="center" o:hrstd="t" o:hr="t"/>
        </w:pict>
      </w:r>
    </w:p>
    <w:bookmarkEnd w:id="31"/>
    <w:bookmarkEnd w:id="32"/>
    <w:bookmarkStart w:id="39" w:name="Xf3429bd73d107a0ac6e7d0a93ddad7a4656728d"/>
    <w:p>
      <w:pPr>
        <w:pStyle w:val="Heading2"/>
      </w:pPr>
      <w:r>
        <w:t xml:space="preserve">4. Emissions Calculation (Activity Data * Emission Factor = CO2e)</w:t>
      </w:r>
    </w:p>
    <w:p>
      <w:pPr>
        <w:pStyle w:val="FirstParagraph"/>
      </w:pPr>
      <w:r>
        <w:t xml:space="preserve">Calculations are performed based on the data and assumptions outlined above. Emissions are categorized according to the GHG Protocol Scopes.</w:t>
      </w:r>
    </w:p>
    <w:bookmarkStart w:id="33" w:name="scope-1-direct-emissions"/>
    <w:p>
      <w:pPr>
        <w:pStyle w:val="Heading3"/>
      </w:pPr>
      <w:r>
        <w:t xml:space="preserve">4.1 Scope 1: Direct Emissions</w:t>
      </w:r>
    </w:p>
    <w:p>
      <w:pPr>
        <w:pStyle w:val="FirstParagraph"/>
      </w:pPr>
      <w:r>
        <w:t xml:space="preserve">For a product carbon footprint with a "factory_gate" system boundary focusing on indirect emissions from the supply chain and use phase, direct emissions from sources owned or controlled by okhxmmwnfg (e.g., on-site fuel combustion for production processes) are typically considered part of the manufacturing process and often captured within Scope 2 or Scope 3 (e.g., purchased materials where supplier Scope 1 is included). Given the parameters, we assume no significant direct Scope 1 emissions *directly attributable* to the functional unit at the factory gate, beyond what is embedded in purchased materials or covered by Scope 2 electricity use. If there were on-site fuel combustion (e.g., for heating or specific processes), it would be quantified here.</w:t>
      </w:r>
    </w:p>
    <w:p>
      <w:pPr>
        <w:pStyle w:val="BodyText"/>
      </w:pPr>
      <w:r>
        <w:rPr>
          <w:bCs/>
          <w:b/>
        </w:rPr>
        <w:t xml:space="preserve">Total Scope 1 Emissions: 0.00 kgCO2e</w:t>
      </w:r>
    </w:p>
    <w:bookmarkEnd w:id="33"/>
    <w:bookmarkStart w:id="34" w:name="X9576576d059ab665c0309d9f71a01468b4fd1f4"/>
    <w:p>
      <w:pPr>
        <w:pStyle w:val="Heading3"/>
      </w:pPr>
      <w:r>
        <w:t xml:space="preserve">4.2 Scope 2: Indirect Emissions from Purchased Energy (Production)</w:t>
      </w:r>
    </w:p>
    <w:p>
      <w:pPr>
        <w:pStyle w:val="FirstParagraph"/>
      </w:pPr>
      <w:r>
        <w:t xml:space="preserve">These emissions result from electricity consumed during the manufacturing process in China.</w:t>
      </w:r>
    </w:p>
    <w:p>
      <w:pPr>
        <w:pStyle w:val="BodyText"/>
      </w:pPr>
      <w:r>
        <w:t xml:space="preserve">Calculation:</w:t>
      </w:r>
    </w:p>
    <w:p>
      <w:pPr>
        <w:numPr>
          <w:ilvl w:val="0"/>
          <w:numId w:val="1012"/>
        </w:numPr>
        <w:pStyle w:val="Compact"/>
      </w:pPr>
      <w:r>
        <w:t xml:space="preserve">Energy Intensity: 10 kWh/unit (`nssuwztemm` assumed)</w:t>
      </w:r>
    </w:p>
    <w:p>
      <w:pPr>
        <w:numPr>
          <w:ilvl w:val="0"/>
          <w:numId w:val="1012"/>
        </w:numPr>
        <w:pStyle w:val="Compact"/>
      </w:pPr>
      <w:r>
        <w:t xml:space="preserve">Renewable Energy Share: 50% (`wejfspqtpo` assumed)</w:t>
      </w:r>
    </w:p>
    <w:p>
      <w:pPr>
        <w:numPr>
          <w:ilvl w:val="0"/>
          <w:numId w:val="1012"/>
        </w:numPr>
        <w:pStyle w:val="Compact"/>
      </w:pPr>
      <w:r>
        <w:t xml:space="preserve">Non-renewable Energy Share: 50%</w:t>
      </w:r>
    </w:p>
    <w:p>
      <w:pPr>
        <w:numPr>
          <w:ilvl w:val="0"/>
          <w:numId w:val="1012"/>
        </w:numPr>
        <w:pStyle w:val="Compact"/>
      </w:pPr>
      <w:r>
        <w:t xml:space="preserve">China Grid Emission Factor: 0.6 kgCO2e/kWh (assumed)</w:t>
      </w:r>
    </w:p>
    <w:p>
      <w:pPr>
        <w:numPr>
          <w:ilvl w:val="0"/>
          <w:numId w:val="1012"/>
        </w:numPr>
        <w:pStyle w:val="Compact"/>
      </w:pPr>
      <w:r>
        <w:t xml:space="preserve">Scope 2 Emissions = Energy Intensity * Non-renewable Energy Share * China Grid Emission Factor</w:t>
      </w:r>
    </w:p>
    <w:p>
      <w:pPr>
        <w:numPr>
          <w:ilvl w:val="0"/>
          <w:numId w:val="1012"/>
        </w:numPr>
        <w:pStyle w:val="Compact"/>
      </w:pPr>
      <w:r>
        <w:t xml:space="preserve">Scope 2 Emissions = 10 kWh/unit * 0.50 * 0.6 kgCO2e/kWh =</w:t>
      </w:r>
      <w:r>
        <w:t xml:space="preserve"> </w:t>
      </w:r>
      <w:r>
        <w:rPr>
          <w:bCs/>
          <w:b/>
        </w:rPr>
        <w:t xml:space="preserve">3.00 kgCO2e/unit</w:t>
      </w:r>
    </w:p>
    <w:p>
      <w:pPr>
        <w:pStyle w:val="FirstParagraph"/>
      </w:pPr>
      <w:r>
        <w:rPr>
          <w:bCs/>
          <w:b/>
        </w:rPr>
        <w:t xml:space="preserve">Total Scope 2 Emissions: 3.00 kgCO2e</w:t>
      </w:r>
    </w:p>
    <w:bookmarkEnd w:id="34"/>
    <w:bookmarkStart w:id="37" w:name="Xd1c2b652bc5876514f180a21f002993b8de8e83"/>
    <w:p>
      <w:pPr>
        <w:pStyle w:val="Heading3"/>
      </w:pPr>
      <w:r>
        <w:t xml:space="preserve">4.3 Scope 3: Other Indirect Emissions (Value Chain)</w:t>
      </w:r>
    </w:p>
    <w:bookmarkStart w:id="35" w:name="upstream-emissions"/>
    <w:p>
      <w:pPr>
        <w:pStyle w:val="Heading4"/>
      </w:pPr>
      <w:r>
        <w:t xml:space="preserve">4.3.1 Upstream Emissions</w:t>
      </w:r>
    </w:p>
    <w:p>
      <w:pPr>
        <w:numPr>
          <w:ilvl w:val="0"/>
          <w:numId w:val="1013"/>
        </w:numPr>
        <w:pStyle w:val="Compact"/>
      </w:pPr>
      <w:r>
        <w:rPr>
          <w:bCs/>
          <w:b/>
        </w:rPr>
        <w:t xml:space="preserve">Materials (Category 1: Purchased Goods and Services):</w:t>
      </w:r>
    </w:p>
    <w:p>
      <w:pPr>
        <w:numPr>
          <w:ilvl w:val="1"/>
          <w:numId w:val="1014"/>
        </w:numPr>
        <w:pStyle w:val="Compact"/>
      </w:pPr>
      <w:r>
        <w:t xml:space="preserve">Total Emissions from Materials (from BOM table):</w:t>
      </w:r>
      <w:r>
        <w:t xml:space="preserve"> </w:t>
      </w:r>
      <w:r>
        <w:rPr>
          <w:bCs/>
          <w:b/>
        </w:rPr>
        <w:t xml:space="preserve">3.60 kgCO2e/unit</w:t>
      </w:r>
    </w:p>
    <w:p>
      <w:pPr>
        <w:numPr>
          <w:ilvl w:val="0"/>
          <w:numId w:val="1013"/>
        </w:numPr>
        <w:pStyle w:val="Compact"/>
      </w:pPr>
      <w:r>
        <w:rPr>
          <w:bCs/>
          <w:b/>
        </w:rPr>
        <w:t xml:space="preserve">Upstream Transportation (Category 4: Upstream Transportation and Distribution):</w:t>
      </w:r>
    </w:p>
    <w:p>
      <w:pPr>
        <w:numPr>
          <w:ilvl w:val="1"/>
          <w:numId w:val="1015"/>
        </w:numPr>
        <w:pStyle w:val="Compact"/>
      </w:pPr>
      <w:r>
        <w:t xml:space="preserve">Product weight: 1 kg/unit (assumed)</w:t>
      </w:r>
    </w:p>
    <w:p>
      <w:pPr>
        <w:numPr>
          <w:ilvl w:val="1"/>
          <w:numId w:val="1015"/>
        </w:numPr>
        <w:pStyle w:val="Compact"/>
      </w:pPr>
      <w:r>
        <w:t xml:space="preserve">Ocean Freight (Europe to China): 15,000 km * 1 kg/unit * 0.01 kgCO2e/tonne-km (assuming 1 tonne-km = 1 kg-km for product mass) = 0.15 kgCO2e/unit</w:t>
      </w:r>
    </w:p>
    <w:p>
      <w:pPr>
        <w:numPr>
          <w:ilvl w:val="1"/>
          <w:numId w:val="1015"/>
        </w:numPr>
        <w:pStyle w:val="Compact"/>
      </w:pPr>
      <w:r>
        <w:t xml:space="preserve">Road Transport (HGV, within China): 500 km * 1 kg/unit * 0.07 kgCO2e/tonne-km = 0.035 kgCO2e/unit</w:t>
      </w:r>
    </w:p>
    <w:p>
      <w:pPr>
        <w:numPr>
          <w:ilvl w:val="1"/>
          <w:numId w:val="1015"/>
        </w:numPr>
        <w:pStyle w:val="Compact"/>
      </w:pPr>
      <w:r>
        <w:t xml:space="preserve">Total Upstream Transport Emissions = 0.15 + 0.035 =</w:t>
      </w:r>
      <w:r>
        <w:t xml:space="preserve"> </w:t>
      </w:r>
      <w:r>
        <w:rPr>
          <w:bCs/>
          <w:b/>
        </w:rPr>
        <w:t xml:space="preserve">0.19 kgCO2e/unit</w:t>
      </w:r>
      <w:r>
        <w:t xml:space="preserve"> </w:t>
      </w:r>
      <w:r>
        <w:t xml:space="preserve">(rounded)</w:t>
      </w:r>
    </w:p>
    <w:p>
      <w:pPr>
        <w:pStyle w:val="FirstParagraph"/>
      </w:pPr>
      <w:r>
        <w:rPr>
          <w:bCs/>
          <w:b/>
        </w:rPr>
        <w:t xml:space="preserve">Total Scope 3 Upstream Emissions: 3.60 (Materials) + 0.19 (Upstream Transport) = 3.79 kgCO2e</w:t>
      </w:r>
    </w:p>
    <w:bookmarkEnd w:id="35"/>
    <w:bookmarkStart w:id="36" w:name="downstream-emissions"/>
    <w:p>
      <w:pPr>
        <w:pStyle w:val="Heading4"/>
      </w:pPr>
      <w:r>
        <w:t xml:space="preserve">4.3.2 Downstream Emissions</w:t>
      </w:r>
    </w:p>
    <w:p>
      <w:pPr>
        <w:numPr>
          <w:ilvl w:val="0"/>
          <w:numId w:val="1016"/>
        </w:numPr>
        <w:pStyle w:val="Compact"/>
      </w:pPr>
      <w:r>
        <w:rPr>
          <w:bCs/>
          <w:b/>
        </w:rPr>
        <w:t xml:space="preserve">Downstream Transportation (Category 9: Downstream Transportation and Distribution):</w:t>
      </w:r>
    </w:p>
    <w:p>
      <w:pPr>
        <w:numPr>
          <w:ilvl w:val="1"/>
          <w:numId w:val="1017"/>
        </w:numPr>
        <w:pStyle w:val="Compact"/>
      </w:pPr>
      <w:r>
        <w:t xml:space="preserve">Product weight: 1 kg/unit (assumed)</w:t>
      </w:r>
    </w:p>
    <w:p>
      <w:pPr>
        <w:numPr>
          <w:ilvl w:val="1"/>
          <w:numId w:val="1017"/>
        </w:numPr>
        <w:pStyle w:val="Compact"/>
      </w:pPr>
      <w:r>
        <w:t xml:space="preserve">Ocean Freight (China to Europe): 15,000 km * 1 kg/unit * 0.01 kgCO2e/tonne-km = 0.15 kgCO2e/unit</w:t>
      </w:r>
    </w:p>
    <w:p>
      <w:pPr>
        <w:numPr>
          <w:ilvl w:val="1"/>
          <w:numId w:val="1017"/>
        </w:numPr>
        <w:pStyle w:val="Compact"/>
      </w:pPr>
      <w:r>
        <w:t xml:space="preserve">Last-Mile Delivery (Van, Europe): 50 km * 0.23 kgCO2e/km = 0.115 kgCO2e/unit</w:t>
      </w:r>
    </w:p>
    <w:p>
      <w:pPr>
        <w:numPr>
          <w:ilvl w:val="1"/>
          <w:numId w:val="1017"/>
        </w:numPr>
        <w:pStyle w:val="Compact"/>
      </w:pPr>
      <w:r>
        <w:t xml:space="preserve">Total Downstream Transport Emissions = 0.15 + 0.115 =</w:t>
      </w:r>
      <w:r>
        <w:t xml:space="preserve"> </w:t>
      </w:r>
      <w:r>
        <w:rPr>
          <w:bCs/>
          <w:b/>
        </w:rPr>
        <w:t xml:space="preserve">0.27 kgCO2e/unit</w:t>
      </w:r>
      <w:r>
        <w:t xml:space="preserve"> </w:t>
      </w:r>
      <w:r>
        <w:t xml:space="preserve">(rounded)</w:t>
      </w:r>
    </w:p>
    <w:p>
      <w:pPr>
        <w:numPr>
          <w:ilvl w:val="0"/>
          <w:numId w:val="1016"/>
        </w:numPr>
        <w:pStyle w:val="Compact"/>
      </w:pPr>
      <w:r>
        <w:rPr>
          <w:bCs/>
          <w:b/>
        </w:rPr>
        <w:t xml:space="preserve">Use Phase (Category 11: Use of Sold Products):</w:t>
      </w:r>
    </w:p>
    <w:p>
      <w:pPr>
        <w:numPr>
          <w:ilvl w:val="1"/>
          <w:numId w:val="1018"/>
        </w:numPr>
        <w:pStyle w:val="Compact"/>
      </w:pPr>
      <w:r>
        <w:t xml:space="preserve">Product Lifespan: 5 years (`euojhdgtjs` assumed)</w:t>
      </w:r>
    </w:p>
    <w:p>
      <w:pPr>
        <w:numPr>
          <w:ilvl w:val="1"/>
          <w:numId w:val="1018"/>
        </w:numPr>
        <w:pStyle w:val="Compact"/>
      </w:pPr>
      <w:r>
        <w:t xml:space="preserve">Energy Consumption in Use: 20 kWh/year (`lkxnlyygqp` assumed)</w:t>
      </w:r>
    </w:p>
    <w:p>
      <w:pPr>
        <w:numPr>
          <w:ilvl w:val="1"/>
          <w:numId w:val="1018"/>
        </w:numPr>
        <w:pStyle w:val="Compact"/>
      </w:pPr>
      <w:r>
        <w:t xml:space="preserve">Total Energy Consumption: 5 years * 20 kWh/year = 100 kWh/unit</w:t>
      </w:r>
    </w:p>
    <w:p>
      <w:pPr>
        <w:numPr>
          <w:ilvl w:val="1"/>
          <w:numId w:val="1018"/>
        </w:numPr>
        <w:pStyle w:val="Compact"/>
      </w:pPr>
      <w:r>
        <w:t xml:space="preserve">European Grid Emission Factor: 0.25 kgCO2e/kWh (assumed)</w:t>
      </w:r>
    </w:p>
    <w:p>
      <w:pPr>
        <w:numPr>
          <w:ilvl w:val="1"/>
          <w:numId w:val="1018"/>
        </w:numPr>
        <w:pStyle w:val="Compact"/>
      </w:pPr>
      <w:r>
        <w:t xml:space="preserve">Use Phase Emissions = 100 kWh/unit * 0.25 kgCO2e/kWh =</w:t>
      </w:r>
      <w:r>
        <w:t xml:space="preserve"> </w:t>
      </w:r>
      <w:r>
        <w:rPr>
          <w:bCs/>
          <w:b/>
        </w:rPr>
        <w:t xml:space="preserve">25.00 kgCO2e/unit</w:t>
      </w:r>
    </w:p>
    <w:p>
      <w:pPr>
        <w:numPr>
          <w:ilvl w:val="0"/>
          <w:numId w:val="1016"/>
        </w:numPr>
        <w:pStyle w:val="Compact"/>
      </w:pPr>
      <w:r>
        <w:rPr>
          <w:bCs/>
          <w:b/>
        </w:rPr>
        <w:t xml:space="preserve">End-of-Life Treatment (Category 12: End-of-Life Treatment of Sold Products):</w:t>
      </w:r>
    </w:p>
    <w:p>
      <w:pPr>
        <w:numPr>
          <w:ilvl w:val="1"/>
          <w:numId w:val="1019"/>
        </w:numPr>
        <w:pStyle w:val="Compact"/>
      </w:pPr>
      <w:r>
        <w:t xml:space="preserve">Total Product Mass: 1.15 kg (from assumed BOM)</w:t>
      </w:r>
    </w:p>
    <w:p>
      <w:pPr>
        <w:numPr>
          <w:ilvl w:val="1"/>
          <w:numId w:val="1019"/>
        </w:numPr>
        <w:pStyle w:val="Compact"/>
      </w:pPr>
      <w:r>
        <w:t xml:space="preserve">Recyclability Percentage: 70% (`zyripmxzke` assumed)</w:t>
      </w:r>
    </w:p>
    <w:p>
      <w:pPr>
        <w:numPr>
          <w:ilvl w:val="1"/>
          <w:numId w:val="1019"/>
        </w:numPr>
        <w:pStyle w:val="Compact"/>
      </w:pPr>
      <w:r>
        <w:t xml:space="preserve">Mass Recycled: 1.15 kg * 0.70 = 0.805 kg</w:t>
      </w:r>
    </w:p>
    <w:p>
      <w:pPr>
        <w:numPr>
          <w:ilvl w:val="1"/>
          <w:numId w:val="1019"/>
        </w:numPr>
        <w:pStyle w:val="Compact"/>
      </w:pPr>
      <w:r>
        <w:t xml:space="preserve">Avoided Emissions (Recycling Credit): 0.805 kg * -1.0 kgCO2e/kg =</w:t>
      </w:r>
      <w:r>
        <w:t xml:space="preserve"> </w:t>
      </w:r>
      <w:r>
        <w:rPr>
          <w:bCs/>
          <w:b/>
        </w:rPr>
        <w:t xml:space="preserve">-0.81 kgCO2e/unit</w:t>
      </w:r>
      <w:r>
        <w:t xml:space="preserve"> </w:t>
      </w:r>
      <w:r>
        <w:t xml:space="preserve">(rounded)</w:t>
      </w:r>
    </w:p>
    <w:p>
      <w:pPr>
        <w:numPr>
          <w:ilvl w:val="1"/>
          <w:numId w:val="1019"/>
        </w:numPr>
        <w:pStyle w:val="Compact"/>
      </w:pPr>
      <w:r>
        <w:t xml:space="preserve">Waste to Landfill/Incineration: (1.15 kg * 0.30) = 0.345 kg. Emissions from this are often marginal for electronics or covered by general waste management systems, or can be allocated a small positive factor. For simplicity, focusing on recycling credit here.</w:t>
      </w:r>
    </w:p>
    <w:p>
      <w:pPr>
        <w:pStyle w:val="FirstParagraph"/>
      </w:pPr>
      <w:r>
        <w:rPr>
          <w:bCs/>
          <w:b/>
        </w:rPr>
        <w:t xml:space="preserve">Total Scope 3 Downstream Emissions: 0.27 (Downstream Transport) + 25.00 (Use Phase) - 0.81 (EoL Credit) = 24.46 kgCO2e</w:t>
      </w:r>
    </w:p>
    <w:bookmarkEnd w:id="36"/>
    <w:bookmarkEnd w:id="37"/>
    <w:bookmarkStart w:id="38"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 / Life 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3.00</w:t>
            </w:r>
          </w:p>
        </w:tc>
      </w:tr>
      <w:tr>
        <w:tc>
          <w:tcPr>
            <w:vMerge w:val="restart"/>
          </w:tcPr>
          <w:p>
            <w:pPr>
              <w:pStyle w:val="Compact"/>
              <w:jc w:val="left"/>
            </w:pPr>
            <w:r>
              <w:t xml:space="preserve">Scope 3</w:t>
            </w:r>
          </w:p>
        </w:tc>
        <w:tc>
          <w:tcPr/>
          <w:p>
            <w:pPr>
              <w:pStyle w:val="Compact"/>
              <w:jc w:val="left"/>
            </w:pPr>
            <w:r>
              <w:t xml:space="preserve">Upstream - Materials (Category 1)</w:t>
            </w:r>
          </w:p>
        </w:tc>
        <w:tc>
          <w:tcPr/>
          <w:p>
            <w:pPr>
              <w:pStyle w:val="Compact"/>
              <w:jc w:val="left"/>
            </w:pPr>
            <w:r>
              <w:t xml:space="preserve">3.60</w:t>
            </w:r>
          </w:p>
        </w:tc>
      </w:tr>
      <w:tr>
        <w:tc>
          <w:tcPr>
            <w:gridSpan w:val="1"/>
            <w:vMerge w:val="continue"/>
          </w:tcPr>
          <w:p>
            <w:pPr/>
          </w:p>
        </w:tc>
        <w:tc>
          <w:tcPr/>
          <w:p>
            <w:pPr>
              <w:pStyle w:val="Compact"/>
              <w:jc w:val="left"/>
            </w:pPr>
            <w:r>
              <w:t xml:space="preserve">Upstream - Transportation (Category 4)</w:t>
            </w:r>
          </w:p>
        </w:tc>
        <w:tc>
          <w:tcPr/>
          <w:p>
            <w:pPr>
              <w:pStyle w:val="Compact"/>
              <w:jc w:val="left"/>
            </w:pPr>
            <w:r>
              <w:t xml:space="preserve">0.19</w:t>
            </w:r>
          </w:p>
        </w:tc>
      </w:tr>
      <w:tr>
        <w:tc>
          <w:tcPr>
            <w:gridSpan w:val="1"/>
            <w:vMerge w:val="continue"/>
          </w:tcPr>
          <w:p>
            <w:pPr/>
          </w:p>
        </w:tc>
        <w:tc>
          <w:tcPr/>
          <w:p>
            <w:pPr>
              <w:pStyle w:val="Compact"/>
              <w:jc w:val="left"/>
            </w:pPr>
            <w:r>
              <w:t xml:space="preserve">Downstream - Transportation (Category 9)</w:t>
            </w:r>
          </w:p>
        </w:tc>
        <w:tc>
          <w:tcPr/>
          <w:p>
            <w:pPr>
              <w:pStyle w:val="Compact"/>
              <w:jc w:val="left"/>
            </w:pPr>
            <w:r>
              <w:t xml:space="preserve">0.27</w:t>
            </w:r>
          </w:p>
        </w:tc>
      </w:tr>
      <w:tr>
        <w:tc>
          <w:tcPr>
            <w:gridSpan w:val="1"/>
            <w:vMerge w:val="continue"/>
          </w:tcPr>
          <w:p>
            <w:pPr/>
          </w:p>
        </w:tc>
        <w:tc>
          <w:tcPr/>
          <w:p>
            <w:pPr>
              <w:pStyle w:val="Compact"/>
              <w:jc w:val="left"/>
            </w:pPr>
            <w:r>
              <w:t xml:space="preserve">Downstream - Use Phase (Category 11)</w:t>
            </w:r>
          </w:p>
        </w:tc>
        <w:tc>
          <w:tcPr/>
          <w:p>
            <w:pPr>
              <w:pStyle w:val="Compact"/>
              <w:jc w:val="left"/>
            </w:pPr>
            <w:r>
              <w:t xml:space="preserve">25.00</w:t>
            </w:r>
          </w:p>
        </w:tc>
      </w:tr>
      <w:tr>
        <w:tc>
          <w:tcPr/>
          <w:p>
            <w:pPr>
              <w:pStyle w:val="Compact"/>
            </w:pPr>
          </w:p>
        </w:tc>
        <w:tc>
          <w:tcPr/>
          <w:p>
            <w:pPr>
              <w:pStyle w:val="Compact"/>
              <w:jc w:val="left"/>
            </w:pPr>
            <w:r>
              <w:t xml:space="preserve">Downstream - End-of-Life (Category 12) (Credit)</w:t>
            </w:r>
          </w:p>
        </w:tc>
        <w:tc>
          <w:tcPr/>
          <w:p>
            <w:pPr>
              <w:pStyle w:val="Compact"/>
              <w:jc w:val="left"/>
            </w:pPr>
            <w:r>
              <w:t xml:space="preserve">-0.81</w:t>
            </w:r>
          </w:p>
        </w:tc>
      </w:tr>
      <w:tr>
        <w:tc>
          <w:tcPr>
            <w:gridSpan w:val="2"/>
          </w:tcPr>
          <w:p>
            <w:pPr>
              <w:pStyle w:val="Compact"/>
              <w:jc w:val="right"/>
            </w:pPr>
            <w:r>
              <w:t xml:space="preserve">Total Product Carbon Footprint:</w:t>
            </w:r>
          </w:p>
        </w:tc>
        <w:tc>
          <w:tcPr/>
          <w:p>
            <w:pPr>
              <w:pStyle w:val="Compact"/>
              <w:jc w:val="left"/>
            </w:pPr>
            <w:r>
              <w:t xml:space="preserve">31.25 kgCO2e/unit</w:t>
            </w:r>
          </w:p>
        </w:tc>
      </w:tr>
    </w:tbl>
    <w:p>
      <w:pPr>
        <w:pStyle w:val="BodyText"/>
      </w:pPr>
      <w:r>
        <w:rPr>
          <w:iCs/>
          <w:i/>
        </w:rPr>
        <w:t xml:space="preserve">Note: All numerical values are based on the stated assumptions for placeholder parameters.</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calculated PCF for xxwphsdlnh, the primary emission hotspots are:</w:t>
      </w:r>
    </w:p>
    <w:p>
      <w:pPr>
        <w:numPr>
          <w:ilvl w:val="0"/>
          <w:numId w:val="1020"/>
        </w:numPr>
        <w:pStyle w:val="Compact"/>
      </w:pPr>
      <w:r>
        <w:rPr>
          <w:bCs/>
          <w:b/>
        </w:rPr>
        <w:t xml:space="preserve">Use Phase (25.00 kgCO2e):</w:t>
      </w:r>
      <w:r>
        <w:t xml:space="preserve"> </w:t>
      </w:r>
      <w:r>
        <w:t xml:space="preserve">This phase accounts for approximately 80% of the total PCF, primarily due to the energy consumption during the product\'s 5-year assumed lifespan. This highlights the critical importance of energy efficiency in product design and consumer energy sources.</w:t>
      </w:r>
    </w:p>
    <w:p>
      <w:pPr>
        <w:numPr>
          <w:ilvl w:val="0"/>
          <w:numId w:val="1020"/>
        </w:numPr>
        <w:pStyle w:val="Compact"/>
      </w:pPr>
      <w:r>
        <w:rPr>
          <w:bCs/>
          <w:b/>
        </w:rPr>
        <w:t xml:space="preserve">Material Production (3.60 kgCO2e):</w:t>
      </w:r>
      <w:r>
        <w:t xml:space="preserve"> </w:t>
      </w:r>
      <w:r>
        <w:t xml:space="preserve">The extraction and processing of raw materials, particularly for components like the Lithium-ion battery and Printed Circuit Board, represent the second largest contributor.</w:t>
      </w:r>
    </w:p>
    <w:p>
      <w:pPr>
        <w:numPr>
          <w:ilvl w:val="0"/>
          <w:numId w:val="1020"/>
        </w:numPr>
        <w:pStyle w:val="Compact"/>
      </w:pPr>
      <w:r>
        <w:rPr>
          <w:bCs/>
          <w:b/>
        </w:rPr>
        <w:t xml:space="preserve">Production Energy (3.00 kgCO2e):</w:t>
      </w:r>
      <w:r>
        <w:t xml:space="preserve"> </w:t>
      </w:r>
      <w:r>
        <w:t xml:space="preserve">Despite 50% renewable energy usage, the remaining grid electricity in China still contributes significantly to the footprint.</w:t>
      </w:r>
    </w:p>
    <w:bookmarkEnd w:id="40"/>
    <w:bookmarkStart w:id="41" w:name="reliability-and-limitations"/>
    <w:p>
      <w:pPr>
        <w:pStyle w:val="Heading3"/>
      </w:pPr>
      <w:r>
        <w:t xml:space="preserve">5.2 Reliability and Limitations</w:t>
      </w:r>
    </w:p>
    <w:p>
      <w:pPr>
        <w:pStyle w:val="FirstParagraph"/>
      </w:pPr>
      <w:r>
        <w:t xml:space="preserve">The reliability of this PCF analysis is contingent upon the accuracy of the underlying data. Due to the placeholder nature of many input parameters (`liljyzih`, `Select Mode`, `mtmirjllod`, `Delivery Type`, `wejfspqtpo`, `nssuwztemm`, `euojhdgtjs`, `lkxnlyygqp`, `zyripmxzke`, `qqqyjhxpos`), specific numerical values have been assumed for illustrative purposes. While these assumptions are based on industry averages and best practices, they introduce a degree of uncertainty. For a more precise PCF, primary data from okhxmmwnfg\'s actual supply chain, energy consumption, and product specifications would be required.</w:t>
      </w:r>
    </w:p>
    <w:p>
      <w:pPr>
        <w:pStyle w:val="BodyText"/>
      </w:pPr>
      <w:r>
        <w:t xml:space="preserve">The GHG Protocol\'s 2026 updates, particularly the 95% Scope 3 coverage rule, emphasize the need for robust and comprehensive data. Moving forward, okhxmmwnfg should prioritize collecting primary data for all relevant Scope 3 categories to enhance the accuracy and auditability of its PCF reporting.</w:t>
      </w:r>
    </w:p>
    <w:bookmarkEnd w:id="41"/>
    <w:bookmarkStart w:id="42" w:name="recommendations"/>
    <w:p>
      <w:pPr>
        <w:pStyle w:val="Heading3"/>
      </w:pPr>
      <w:r>
        <w:t xml:space="preserve">5.3 Recommendations</w:t>
      </w:r>
    </w:p>
    <w:p>
      <w:pPr>
        <w:numPr>
          <w:ilvl w:val="0"/>
          <w:numId w:val="1021"/>
        </w:numPr>
        <w:pStyle w:val="Compact"/>
      </w:pPr>
      <w:r>
        <w:rPr>
          <w:bCs/>
          <w:b/>
        </w:rPr>
        <w:t xml:space="preserve">Enhance Product Energy Efficiency:</w:t>
      </w:r>
      <w:r>
        <w:t xml:space="preserve"> </w:t>
      </w:r>
      <w:r>
        <w:t xml:space="preserve">Focus on reducing the energy consumption of xxwphsdlnh during its use phase through improved design, more efficient components, or advanced power management features.</w:t>
      </w:r>
    </w:p>
    <w:p>
      <w:pPr>
        <w:numPr>
          <w:ilvl w:val="0"/>
          <w:numId w:val="1021"/>
        </w:numPr>
        <w:pStyle w:val="Compact"/>
      </w:pPr>
      <w:r>
        <w:rPr>
          <w:bCs/>
          <w:b/>
        </w:rPr>
        <w:t xml:space="preserve">Decarbonize Manufacturing Operations:</w:t>
      </w:r>
      <w:r>
        <w:t xml:space="preserve"> </w:t>
      </w:r>
      <w:r>
        <w:t xml:space="preserve">Increase the reliance on renewable energy sources at the production facility in China. Explore options for procuring renewable energy certificates or investing in on-site renewable generation.</w:t>
      </w:r>
    </w:p>
    <w:p>
      <w:pPr>
        <w:numPr>
          <w:ilvl w:val="0"/>
          <w:numId w:val="1021"/>
        </w:numPr>
        <w:pStyle w:val="Compact"/>
      </w:pPr>
      <w:r>
        <w:rPr>
          <w:bCs/>
          <w:b/>
        </w:rPr>
        <w:t xml:space="preserve">Optimize Material Selection and Design:</w:t>
      </w:r>
      <w:r>
        <w:t xml:space="preserve"> </w:t>
      </w:r>
      <w:r>
        <w:t xml:space="preserve">Investigate alternative materials with lower embedded carbon for components identified as hotspots. Implement design for disassembly and circularity to maximize recyclability and minimize waste.</w:t>
      </w:r>
    </w:p>
    <w:p>
      <w:pPr>
        <w:numPr>
          <w:ilvl w:val="0"/>
          <w:numId w:val="1021"/>
        </w:numPr>
        <w:pStyle w:val="Compact"/>
      </w:pPr>
      <w:r>
        <w:rPr>
          <w:bCs/>
          <w:b/>
        </w:rPr>
        <w:t xml:space="preserve">Strengthen Supply Chain Engagement:</w:t>
      </w:r>
      <w:r>
        <w:t xml:space="preserve"> </w:t>
      </w:r>
      <w:r>
        <w:t xml:space="preserve">Collaborate with key suppliers to obtain primary data on their emissions and work towards setting emissions reduction targets, particularly for high-impact materials.</w:t>
      </w:r>
    </w:p>
    <w:p>
      <w:pPr>
        <w:numPr>
          <w:ilvl w:val="0"/>
          <w:numId w:val="1021"/>
        </w:numPr>
        <w:pStyle w:val="Compact"/>
      </w:pPr>
      <w:r>
        <w:rPr>
          <w:bCs/>
          <w:b/>
        </w:rPr>
        <w:t xml:space="preserve">Develop Robust Circular Economy Strategies:</w:t>
      </w:r>
      <w:r>
        <w:t xml:space="preserve"> </w:t>
      </w:r>
      <w:r>
        <w:t xml:space="preserve">Fully leverage the "Active Take-back Program in Europe" (`qqqyjhxpos`) to ensure a high return rate and efficient recycling of products at end-of-life. Explore opportunities for product refurbishment and reuse.</w:t>
      </w:r>
    </w:p>
    <w:p>
      <w:pPr>
        <w:numPr>
          <w:ilvl w:val="0"/>
          <w:numId w:val="1021"/>
        </w:numPr>
        <w:pStyle w:val="Compact"/>
      </w:pPr>
      <w:r>
        <w:rPr>
          <w:bCs/>
          <w:b/>
        </w:rPr>
        <w:t xml:space="preserve">Collect Primary Data:</w:t>
      </w:r>
      <w:r>
        <w:t xml:space="preserve"> </w:t>
      </w:r>
      <w:r>
        <w:t xml:space="preserve">Systematically gather primary data for all placeholder parameters (e.g., actual BOM, precise transport distances and modes, real energy consumption in production and use, exact recyclability rates) to refine future PCF calculations and improve reporting accuracy.</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xxwphsdlnh</dc:title>
  <dc:creator/>
  <dc:description>High-detail Product Carbon Footprint (PCF) analysis report for product xxwphsdlnh, conducted by okhxmmwnfg, adhering to GHG Protocol standards and 2026 updates.</dc:description>
  <dc:language>en</dc:language>
  <cp:keywords/>
  <dcterms:created xsi:type="dcterms:W3CDTF">2026-06-13T01:52:58Z</dcterms:created>
  <dcterms:modified xsi:type="dcterms:W3CDTF">2026-06-13T01:52:58Z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