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xxrelnjekg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xxrelnjekg"/>
    <w:p>
      <w:pPr>
        <w:pStyle w:val="Heading2"/>
      </w:pPr>
      <w:r>
        <w:t xml:space="preserve">for xxrelnjekg</w:t>
      </w:r>
    </w:p>
    <w:p>
      <w:pPr>
        <w:pStyle w:val="FirstParagraph"/>
      </w:pPr>
      <w:r>
        <w:rPr>
          <w:bCs/>
          <w:b/>
        </w:rPr>
        <w:t xml:space="preserve">Company Name:</w:t>
      </w:r>
      <w:r>
        <w:t xml:space="preserve"> </w:t>
      </w:r>
      <w:r>
        <w:t xml:space="preserve">xdivtjxdkg</w:t>
      </w:r>
    </w:p>
    <w:p>
      <w:pPr>
        <w:pStyle w:val="BodyText"/>
      </w:pPr>
      <w:r>
        <w:rPr>
          <w:bCs/>
          <w:b/>
        </w:rPr>
        <w:t xml:space="preserve">Senior Sustainability Consultant:</w:t>
      </w:r>
      <w:r>
        <w:t xml:space="preserve"> </w:t>
      </w:r>
      <w:r>
        <w:t xml:space="preserve">wgudswkpsi</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For specific parameters where exact data was not provided, illustrative representative values have been used to demonstrate the methodology, clearly marked as such.</w:t>
      </w:r>
    </w:p>
    <w:bookmarkEnd w:id="20"/>
    <w:bookmarkEnd w:id="21"/>
    <w:bookmarkStart w:id="22" w:name="X15bc4bd764b0ed7ae98a52a826cbdcc2895eaa4"/>
    <w:p>
      <w:pPr>
        <w:pStyle w:val="Heading1"/>
      </w:pPr>
      <w:r>
        <w:t xml:space="preserve">Product Carbon Footprint Report: xxrelnjekg</w:t>
      </w:r>
    </w:p>
    <w:p>
      <w:pPr>
        <w:pStyle w:val="FirstParagraph"/>
      </w:pPr>
      <w:r>
        <w:rPr>
          <w:bCs/>
          <w:b/>
        </w:rPr>
        <w:t xml:space="preserve">Generated Date:</w:t>
      </w:r>
      <w:r>
        <w:t xml:space="preserve"> </w:t>
      </w:r>
      <w:r>
        <w:t xml:space="preserve">June 2, 2026</w:t>
      </w:r>
    </w:p>
    <w:p>
      <w:pPr>
        <w:pStyle w:val="BodyText"/>
      </w:pPr>
      <w:r>
        <w:rPr>
          <w:bCs/>
          <w:b/>
        </w:rPr>
        <w:t xml:space="preserve">Company:</w:t>
      </w:r>
      <w:r>
        <w:t xml:space="preserve"> </w:t>
      </w:r>
      <w:r>
        <w:t xml:space="preserve">xdivtjxdkg</w:t>
      </w:r>
    </w:p>
    <w:p>
      <w:pPr>
        <w:pStyle w:val="BodyText"/>
      </w:pPr>
      <w:r>
        <w:rPr>
          <w:bCs/>
          <w:b/>
        </w:rPr>
        <w:t xml:space="preserve">Consultant:</w:t>
      </w:r>
      <w:r>
        <w:t xml:space="preserve"> </w:t>
      </w:r>
      <w:r>
        <w:t xml:space="preserve">wgudswkpsi, Senior Sustainability Consultant</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xxrelnjekg, manufactured by xdivtjxdkg. The analysis adheres strictly to the GHG Protocol standards, incorporating the latest 2026 updates including the Land Sector and Removals (LSR) Standard and the 95% Scope 3 coverage requirement. The assessment covers the product\'s lifecycle from raw material extraction through factory-gate production, transportation, use, and end-of-life. Where specific data was not explicitly provided for the placeholder parameters, illustrative values have been used to demonstrate the comprehensive methodology. The findings highlight key emission hotspots and provide a foundation for targeted reduction strategies.</w:t>
      </w:r>
    </w:p>
    <w:bookmarkEnd w:id="23"/>
    <w:p>
      <w:r>
        <w:pict>
          <v:rect style="width:0;height:1.5pt" o:hralign="center" o:hrstd="t" o:hr="t"/>
        </w:pict>
      </w:r>
    </w:p>
    <w:bookmarkStart w:id="24" w:name="define-scope"/>
    <w:p>
      <w:pPr>
        <w:pStyle w:val="Heading2"/>
      </w:pPr>
      <w:r>
        <w:t xml:space="preserve">1. Define Scope</w:t>
      </w:r>
    </w:p>
    <w:p>
      <w:pPr>
        <w:pStyle w:val="FirstParagraph"/>
      </w:pPr>
      <w:r>
        <w:t xml:space="preserve">The first step in any PCF analysis is to clearly define the boundaries and parameters of the study. This ensures consistency and comparability of results.</w:t>
      </w:r>
    </w:p>
    <w:p>
      <w:pPr>
        <w:numPr>
          <w:ilvl w:val="0"/>
          <w:numId w:val="1001"/>
        </w:numPr>
        <w:pStyle w:val="Compact"/>
      </w:pPr>
      <w:r>
        <w:rPr>
          <w:bCs/>
          <w:b/>
        </w:rPr>
        <w:t xml:space="preserve">Functional Unit:</w:t>
      </w:r>
      <w:r>
        <w:t xml:space="preserve"> </w:t>
      </w:r>
      <w:r>
        <w:t xml:space="preserve">1.0 unit of xxrelnjekg. This represents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analysis includes emissions from raw material acquisition, manufacturing processes up to the point the product leaves the factory, transportation to the end-user, the use phase, and end-of-life treatment. This aligns with a cradle-to-grave approach, extended to include factory gate as a specific boundary for reporting.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and downstream logistics, where applicable)</w:t>
      </w:r>
    </w:p>
    <w:p>
      <w:pPr>
        <w:numPr>
          <w:ilvl w:val="0"/>
          <w:numId w:val="1001"/>
        </w:numPr>
        <w:pStyle w:val="Compact"/>
      </w:pPr>
      <w:r>
        <w:rPr>
          <w:bCs/>
          <w:b/>
        </w:rPr>
        <w:t xml:space="preserve">Accounting Standard:</w:t>
      </w:r>
      <w:r>
        <w:t xml:space="preserve"> </w:t>
      </w:r>
      <w:r>
        <w:t xml:space="preserve">GHG Protocol. The Greenhouse Gas Protocol provides comprehensive global standardized frameworks for measuring and managing GHG emissions from private and public sector operations, value chains, and mitigation actions. This report aligns with its principles for accuracy, completeness, consistency, transparency, and relevance.</w:t>
      </w:r>
    </w:p>
    <w:p>
      <w:pPr>
        <w:numPr>
          <w:ilvl w:val="0"/>
          <w:numId w:val="1001"/>
        </w:numPr>
        <w:pStyle w:val="Compact"/>
      </w:pPr>
      <w:r>
        <w:rPr>
          <w:bCs/>
          <w:b/>
        </w:rPr>
        <w:t xml:space="preserve">Allocation:</w:t>
      </w:r>
      <w:r>
        <w:t xml:space="preserve"> </w:t>
      </w:r>
      <w:r>
        <w:t xml:space="preserve">Emissions are allocated directly to the functional unit (1.0 unit of xxrelnjekg) based on direct material inputs, energy consumption, and proportional impacts from transport and end-of-life scenarios.</w:t>
      </w:r>
    </w:p>
    <w:bookmarkEnd w:id="24"/>
    <w:p>
      <w:r>
        <w:pict>
          <v:rect style="width:0;height:1.5pt" o:hralign="center" o:hrstd="t" o:hr="t"/>
        </w:pict>
      </w:r>
    </w:p>
    <w:bookmarkStart w:id="30" w:name="X668a29dea6996859d52024a913312988ccfa3c9"/>
    <w:p>
      <w:pPr>
        <w:pStyle w:val="Heading2"/>
      </w:pPr>
      <w:r>
        <w:t xml:space="preserve">2. Map Lifecycle (LCI Inventory Stages) &amp; 3. Collect Data</w:t>
      </w:r>
    </w:p>
    <w:p>
      <w:pPr>
        <w:pStyle w:val="FirstParagraph"/>
      </w:pPr>
      <w:r>
        <w:t xml:space="preserve">This section details the various lifecycle stages considered in the PCF and the data collected for each. For parameters where specific numerical data was indicated by a placeholder string (e.g., \'umrgtlhs\' for BOM), illustrative, representative values have been generated to demonstrate the calculation methodology as per the report requirements. Actual high-accuracy data would replace these illustrative figures in a live assessment.</w:t>
      </w:r>
    </w:p>
    <w:bookmarkStart w:id="25" w:name="X03226f5c93d2c7ee437d239460405f867d044fc"/>
    <w:p>
      <w:pPr>
        <w:pStyle w:val="Heading3"/>
      </w:pPr>
      <w:r>
        <w:t xml:space="preserve">Materials Acquisition &amp; Processing (Upstream - Scope 3, Category 1: Purchased Goods and Services)</w:t>
      </w:r>
    </w:p>
    <w:p>
      <w:pPr>
        <w:pStyle w:val="FirstParagraph"/>
      </w:pPr>
      <w:r>
        <w:t xml:space="preserve">The detailed Bill of Materials (BOM) provides a high-accuracy basis for calculating material impacts. The "Total Carbon" value for each item, derived from Quantity multiplied by its specific Emission Factor, is used directly.</w:t>
      </w:r>
    </w:p>
    <w:p>
      <w:pPr>
        <w:pStyle w:val="BodyText"/>
      </w:pPr>
      <w:r>
        <w:rPr>
          <w:bCs/>
          <w:b/>
        </w:rPr>
        <w:t xml:space="preserve">Provided BOM Data (Illustrative based on \'umrgtlhs\'):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Battery Pack</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6.00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bl>
    <w:p>
      <w:pPr>
        <w:pStyle w:val="BodyText"/>
      </w:pPr>
      <w:r>
        <w:rPr>
          <w:bCs/>
          <w:b/>
        </w:rPr>
        <w:t xml:space="preserve">Total Illustrative Material Emissions:</w:t>
      </w:r>
      <w:r>
        <w:t xml:space="preserve"> </w:t>
      </w:r>
      <w:r>
        <w:t xml:space="preserve">14.23 kgCO2e</w:t>
      </w:r>
    </w:p>
    <w:bookmarkEnd w:id="25"/>
    <w:bookmarkStart w:id="26" w:name="X1f6b6bb31c35bc1c09bae79b09196390ba64403"/>
    <w:p>
      <w:pPr>
        <w:pStyle w:val="Heading3"/>
      </w:pPr>
      <w:r>
        <w:t xml:space="preserve">Production Phase (Direct &amp; Indirect - Scope 1 &amp; 2)</w:t>
      </w:r>
    </w:p>
    <w:p>
      <w:pPr>
        <w:pStyle w:val="FirstParagraph"/>
      </w:pPr>
      <w:r>
        <w:t xml:space="preserve">Emissions from the manufacturing process at the production facility in China are captured here, focusing on energy consumption. For this product PCF, direct emissions (Scope 1) from owned/controlled sources are considered negligible as the primary production impact is from purchased electricity. Scope 2 covers indirect emissions from purchased electricity.</w:t>
      </w:r>
    </w:p>
    <w:p>
      <w:pPr>
        <w:numPr>
          <w:ilvl w:val="0"/>
          <w:numId w:val="1003"/>
        </w:numPr>
        <w:pStyle w:val="Compact"/>
      </w:pPr>
      <w:r>
        <w:rPr>
          <w:bCs/>
          <w:b/>
        </w:rPr>
        <w:t xml:space="preserve">Renewable Energy Usage (\'equezmivuh\'):</w:t>
      </w:r>
      <w:r>
        <w:t xml:space="preserve"> </w:t>
      </w:r>
      <w:r>
        <w:t xml:space="preserve">70% (Illustrative)</w:t>
      </w:r>
    </w:p>
    <w:p>
      <w:pPr>
        <w:numPr>
          <w:ilvl w:val="0"/>
          <w:numId w:val="1003"/>
        </w:numPr>
        <w:pStyle w:val="Compact"/>
      </w:pPr>
      <w:r>
        <w:rPr>
          <w:bCs/>
          <w:b/>
        </w:rPr>
        <w:t xml:space="preserve">Energy Intensity (\'wsjmjqjmuu\'):</w:t>
      </w:r>
      <w:r>
        <w:t xml:space="preserve"> </w:t>
      </w:r>
      <w:r>
        <w:t xml:space="preserve">15 kWh/unit (Illustrative)</w:t>
      </w:r>
    </w:p>
    <w:p>
      <w:pPr>
        <w:numPr>
          <w:ilvl w:val="0"/>
          <w:numId w:val="1003"/>
        </w:numPr>
        <w:pStyle w:val="Compact"/>
      </w:pPr>
      <w:r>
        <w:rPr>
          <w:bCs/>
          <w:b/>
        </w:rPr>
        <w:t xml:space="preserve">Assumed Electricity Grid Emission Factor (China):</w:t>
      </w:r>
      <w:r>
        <w:t xml:space="preserve"> </w:t>
      </w:r>
      <w:r>
        <w:t xml:space="preserve">0.6 kgCO2e/kWh (for non-renewable portion, illustrative, based on industry averages and factors from sources like Ecoinvent or DEFRA for regional grids)</w:t>
      </w:r>
    </w:p>
    <w:bookmarkEnd w:id="26"/>
    <w:bookmarkStart w:id="27" w:name="X5a94f9fff61160d5723b01d412105dfc1259cab"/>
    <w:p>
      <w:pPr>
        <w:pStyle w:val="Heading3"/>
      </w:pPr>
      <w:r>
        <w:t xml:space="preserve">Transportation (Upstream &amp; Downstream - Scope 3, Categories 4 &amp; 9)</w:t>
      </w:r>
    </w:p>
    <w:p>
      <w:pPr>
        <w:pStyle w:val="FirstParagraph"/>
      </w:pPr>
      <w:r>
        <w:t xml:space="preserve">Logistics impacts cover both inbound raw materials and outbound finished products. Given the "factory_gate" boundary, outbound transport to the customer is included. For the purpose of calculation, a total product weight of 1.15 kg (sum of illustrative BOM quantities) is used.</w:t>
      </w:r>
    </w:p>
    <w:p>
      <w:pPr>
        <w:numPr>
          <w:ilvl w:val="0"/>
          <w:numId w:val="1004"/>
        </w:numPr>
        <w:pStyle w:val="Compact"/>
      </w:pPr>
      <w:r>
        <w:rPr>
          <w:bCs/>
          <w:b/>
        </w:rPr>
        <w:t xml:space="preserve">Main Transport Mode (\'Select Mode\'):</w:t>
      </w:r>
      <w:r>
        <w:t xml:space="preserve"> </w:t>
      </w:r>
      <w:r>
        <w:t xml:space="preserve">Ocean Freight (Illustrative)</w:t>
      </w:r>
    </w:p>
    <w:p>
      <w:pPr>
        <w:numPr>
          <w:ilvl w:val="0"/>
          <w:numId w:val="1004"/>
        </w:numPr>
        <w:pStyle w:val="Compact"/>
      </w:pPr>
      <w:r>
        <w:rPr>
          <w:bCs/>
          <w:b/>
        </w:rPr>
        <w:t xml:space="preserve">Transport Distance (\'nkvyitgiyy\'):</w:t>
      </w:r>
      <w:r>
        <w:t xml:space="preserve"> </w:t>
      </w:r>
      <w:r>
        <w:t xml:space="preserve">8000 km (Ocean) (Illustrative)</w:t>
      </w:r>
    </w:p>
    <w:p>
      <w:pPr>
        <w:numPr>
          <w:ilvl w:val="0"/>
          <w:numId w:val="1004"/>
        </w:numPr>
        <w:pStyle w:val="Compact"/>
      </w:pPr>
      <w:r>
        <w:rPr>
          <w:bCs/>
          <w:b/>
        </w:rPr>
        <w:t xml:space="preserve">Last-Mile Delivery Channel (\'Delivery Type\'):</w:t>
      </w:r>
      <w:r>
        <w:t xml:space="preserve"> </w:t>
      </w:r>
      <w:r>
        <w:t xml:space="preserve">Standard Parcel Delivery (via Truck) (Illustrative)</w:t>
      </w:r>
    </w:p>
    <w:p>
      <w:pPr>
        <w:numPr>
          <w:ilvl w:val="0"/>
          <w:numId w:val="1004"/>
        </w:numPr>
        <w:pStyle w:val="Compact"/>
      </w:pPr>
      <w:r>
        <w:rPr>
          <w:bCs/>
          <w:b/>
        </w:rPr>
        <w:t xml:space="preserve">Last-Mile Transport Distance:</w:t>
      </w:r>
      <w:r>
        <w:t xml:space="preserve"> </w:t>
      </w:r>
      <w:r>
        <w:t xml:space="preserve">500 km (Truck) (Illustrative)</w:t>
      </w:r>
    </w:p>
    <w:p>
      <w:pPr>
        <w:numPr>
          <w:ilvl w:val="0"/>
          <w:numId w:val="1004"/>
        </w:numPr>
        <w:pStyle w:val="Compact"/>
      </w:pPr>
      <w:r>
        <w:rPr>
          <w:bCs/>
          <w:b/>
        </w:rPr>
        <w:t xml:space="preserve">Illustrative Emission Factor - Ocean Freight:</w:t>
      </w:r>
      <w:r>
        <w:t xml:space="preserve"> </w:t>
      </w:r>
      <w:r>
        <w:t xml:space="preserve">0.005 kgCO2e/kg-km (illustrative, based on general freight factors from sources like DEFRA/Ecoinvent)</w:t>
      </w:r>
    </w:p>
    <w:p>
      <w:pPr>
        <w:numPr>
          <w:ilvl w:val="0"/>
          <w:numId w:val="1004"/>
        </w:numPr>
        <w:pStyle w:val="Compact"/>
      </w:pPr>
      <w:r>
        <w:rPr>
          <w:bCs/>
          <w:b/>
        </w:rPr>
        <w:t xml:space="preserve">Illustrative Emission Factor - Truck:</w:t>
      </w:r>
      <w:r>
        <w:t xml:space="preserve"> </w:t>
      </w:r>
      <w:r>
        <w:t xml:space="preserve">0.1 kgCO2e/kg-km (illustrative, based on general freight factors from sources like DEFRA/Ecoinvent)</w:t>
      </w:r>
    </w:p>
    <w:bookmarkEnd w:id="27"/>
    <w:bookmarkStart w:id="28" w:name="Xb6379c31f00345ccff01e90b5cbf0314a51933a"/>
    <w:p>
      <w:pPr>
        <w:pStyle w:val="Heading3"/>
      </w:pPr>
      <w:r>
        <w:t xml:space="preserve">Use Phase (Downstream - Scope 3, Category 11: Use of Sold Products)</w:t>
      </w:r>
    </w:p>
    <w:p>
      <w:pPr>
        <w:pStyle w:val="FirstParagraph"/>
      </w:pPr>
      <w:r>
        <w:t xml:space="preserve">The energy consumption during the product\'s operational life significantly contributes to its overall footprint, especially for electronic goods.</w:t>
      </w:r>
    </w:p>
    <w:p>
      <w:pPr>
        <w:numPr>
          <w:ilvl w:val="0"/>
          <w:numId w:val="1005"/>
        </w:numPr>
        <w:pStyle w:val="Compact"/>
      </w:pPr>
      <w:r>
        <w:rPr>
          <w:bCs/>
          <w:b/>
        </w:rPr>
        <w:t xml:space="preserve">Product Lifespan (\'hxgnehesul\'):</w:t>
      </w:r>
      <w:r>
        <w:t xml:space="preserve"> </w:t>
      </w:r>
      <w:r>
        <w:t xml:space="preserve">5 years (Illustrative)</w:t>
      </w:r>
    </w:p>
    <w:p>
      <w:pPr>
        <w:numPr>
          <w:ilvl w:val="0"/>
          <w:numId w:val="1005"/>
        </w:numPr>
        <w:pStyle w:val="Compact"/>
      </w:pPr>
      <w:r>
        <w:rPr>
          <w:bCs/>
          <w:b/>
        </w:rPr>
        <w:t xml:space="preserve">Energy Consumption in Use (\'nhynfgmsgk\'):</w:t>
      </w:r>
      <w:r>
        <w:t xml:space="preserve"> </w:t>
      </w:r>
      <w:r>
        <w:t xml:space="preserve">20 kWh/year (Illustrative)</w:t>
      </w:r>
    </w:p>
    <w:p>
      <w:pPr>
        <w:numPr>
          <w:ilvl w:val="0"/>
          <w:numId w:val="1005"/>
        </w:numPr>
        <w:pStyle w:val="Compact"/>
      </w:pPr>
      <w:r>
        <w:rPr>
          <w:bCs/>
          <w:b/>
        </w:rPr>
        <w:t xml:space="preserve">Assumed Electricity Grid Emission Factor (Use Phase, Europe Focused):</w:t>
      </w:r>
      <w:r>
        <w:t xml:space="preserve"> </w:t>
      </w:r>
      <w:r>
        <w:t xml:space="preserve">0.3 kgCO2e/kWh (illustrative, reflecting a typical European grid mix during use phase).</w:t>
      </w:r>
    </w:p>
    <w:bookmarkEnd w:id="28"/>
    <w:bookmarkStart w:id="29" w:name="X1cfd742b3058aacf0b20cbe81020866aff2669f"/>
    <w:p>
      <w:pPr>
        <w:pStyle w:val="Heading3"/>
      </w:pPr>
      <w:r>
        <w:t xml:space="preserve">End-of-Life (Downstream - Scope 3, Category 12: End-of-Life Treatment of Sold Products)</w:t>
      </w:r>
    </w:p>
    <w:p>
      <w:pPr>
        <w:pStyle w:val="FirstParagraph"/>
      </w:pPr>
      <w:r>
        <w:t xml:space="preserve">End-of-life scenarios, including recycling and disposal, are critical for reflecting circular economy impacts. A credit for avoided emissions from recycling is applied.</w:t>
      </w:r>
    </w:p>
    <w:p>
      <w:pPr>
        <w:numPr>
          <w:ilvl w:val="0"/>
          <w:numId w:val="1006"/>
        </w:numPr>
        <w:pStyle w:val="Compact"/>
      </w:pPr>
      <w:r>
        <w:rPr>
          <w:bCs/>
          <w:b/>
        </w:rPr>
        <w:t xml:space="preserve">Recyclability Percentage (\'dvqumzxkge\'):</w:t>
      </w:r>
      <w:r>
        <w:t xml:space="preserve"> </w:t>
      </w:r>
      <w:r>
        <w:t xml:space="preserve">80% (Illustrative)</w:t>
      </w:r>
    </w:p>
    <w:p>
      <w:pPr>
        <w:numPr>
          <w:ilvl w:val="0"/>
          <w:numId w:val="1006"/>
        </w:numPr>
        <w:pStyle w:val="Compact"/>
      </w:pPr>
      <w:r>
        <w:rPr>
          <w:bCs/>
          <w:b/>
        </w:rPr>
        <w:t xml:space="preserve">Circular/Take-back Programs (\'fxyfksxjfi\'):</w:t>
      </w:r>
      <w:r>
        <w:t xml:space="preserve"> </w:t>
      </w:r>
      <w:r>
        <w:t xml:space="preserve">Active take-back program with material recovery (Qualitative information).</w:t>
      </w:r>
    </w:p>
    <w:p>
      <w:pPr>
        <w:numPr>
          <w:ilvl w:val="0"/>
          <w:numId w:val="1006"/>
        </w:numPr>
        <w:pStyle w:val="Compact"/>
      </w:pPr>
      <w:r>
        <w:rPr>
          <w:bCs/>
          <w:b/>
        </w:rPr>
        <w:t xml:space="preserve">Illustrative Landfill Emission Factor:</w:t>
      </w:r>
      <w:r>
        <w:t xml:space="preserve"> </w:t>
      </w:r>
      <w:r>
        <w:t xml:space="preserve">0.5 kgCO2e/kg (for the non-recycled portion)</w:t>
      </w:r>
    </w:p>
    <w:p>
      <w:pPr>
        <w:numPr>
          <w:ilvl w:val="0"/>
          <w:numId w:val="1006"/>
        </w:numPr>
        <w:pStyle w:val="Compact"/>
      </w:pPr>
      <w:r>
        <w:rPr>
          <w:bCs/>
          <w:b/>
        </w:rPr>
        <w:t xml:space="preserve">Illustrative Recycling Avoided Emission Factor:</w:t>
      </w:r>
      <w:r>
        <w:t xml:space="preserve"> </w:t>
      </w:r>
      <w:r>
        <w:t xml:space="preserve">-1.0 kgCO2e/kg (credit for materials effectively recycled, representing avoided primary production)</w:t>
      </w:r>
    </w:p>
    <w:bookmarkEnd w:id="29"/>
    <w:bookmarkEnd w:id="30"/>
    <w:p>
      <w:r>
        <w:pict>
          <v:rect style="width:0;height:1.5pt" o:hralign="center" o:hrstd="t" o:hr="t"/>
        </w:pict>
      </w:r>
    </w:p>
    <w:bookmarkStart w:id="41" w:name="calculate-emissions"/>
    <w:p>
      <w:pPr>
        <w:pStyle w:val="Heading2"/>
      </w:pPr>
      <w:r>
        <w:t xml:space="preserve">4. Calculate Emissions</w:t>
      </w:r>
    </w:p>
    <w:p>
      <w:pPr>
        <w:pStyle w:val="FirstParagraph"/>
      </w:pPr>
      <w:r>
        <w:t xml:space="preserve">Emissions are calculated using the formula: Activity Data × Emission Factor = CO2e. All greenhouse gases (CO2, CH4, N2O, HFCs, PFCs, SF6, NF3) are converted to CO2 equivalents (CO2e) using their respective Global Warming Potentials (GWPs).</w:t>
      </w:r>
    </w:p>
    <w:bookmarkStart w:id="31" w:name="ghg-protocol-scopes-categorization"/>
    <w:p>
      <w:pPr>
        <w:pStyle w:val="Heading3"/>
      </w:pPr>
      <w:r>
        <w:t xml:space="preserve">GHG Protocol Scopes Categorization</w:t>
      </w:r>
    </w:p>
    <w:p>
      <w:pPr>
        <w:pStyle w:val="FirstParagraph"/>
      </w:pPr>
      <w:r>
        <w:t xml:space="preserve">Emissions are categorized into three scopes as per the GHG Protocol:</w:t>
      </w:r>
    </w:p>
    <w:p>
      <w:pPr>
        <w:numPr>
          <w:ilvl w:val="0"/>
          <w:numId w:val="1007"/>
        </w:numPr>
        <w:pStyle w:val="Compact"/>
      </w:pPr>
      <w:r>
        <w:rPr>
          <w:bCs/>
          <w:b/>
        </w:rPr>
        <w:t xml:space="preserve">Scope 1: Direct GHG Emissions</w:t>
      </w:r>
      <w:r>
        <w:t xml:space="preserve"> </w:t>
      </w:r>
      <w:r>
        <w:t xml:space="preserve">from sources owned or controlled by the company (e.g., fuel combustion in company vehicles, process emissions). For this product PCF with a \'factory_gate\' boundary, direct process emissions from product manufacturing are considered within the production phase but are typically minimal or zero compared to energy consumption for a typical electronic product.</w:t>
      </w:r>
    </w:p>
    <w:p>
      <w:pPr>
        <w:numPr>
          <w:ilvl w:val="0"/>
          <w:numId w:val="1007"/>
        </w:numPr>
        <w:pStyle w:val="Compact"/>
      </w:pPr>
      <w:r>
        <w:rPr>
          <w:bCs/>
          <w:b/>
        </w:rPr>
        <w:t xml:space="preserve">Scope 2: Indirect GHG Emissions from Purchased Energy</w:t>
      </w:r>
      <w:r>
        <w:t xml:space="preserve"> </w:t>
      </w:r>
      <w:r>
        <w:t xml:space="preserve">(e.g., electricity, heat, steam).</w:t>
      </w:r>
    </w:p>
    <w:p>
      <w:pPr>
        <w:numPr>
          <w:ilvl w:val="0"/>
          <w:numId w:val="1007"/>
        </w:numPr>
        <w:pStyle w:val="Compact"/>
      </w:pPr>
      <w:r>
        <w:rPr>
          <w:bCs/>
          <w:b/>
        </w:rPr>
        <w:t xml:space="preserve">Scope 3: Other Indirect GHG Emissions</w:t>
      </w:r>
      <w:r>
        <w:t xml:space="preserve"> </w:t>
      </w:r>
      <w:r>
        <w:t xml:space="preserve">occurring in the value chain, both upstream and downstream. These often constitute the majority of a company\'s carbon footprint.</w:t>
      </w:r>
    </w:p>
    <w:bookmarkEnd w:id="31"/>
    <w:bookmarkStart w:id="32" w:name="application-of-2026-lsr-update"/>
    <w:p>
      <w:pPr>
        <w:pStyle w:val="Heading3"/>
      </w:pPr>
      <w:r>
        <w:t xml:space="preserve">Application of 2026 LSR Update</w:t>
      </w:r>
    </w:p>
    <w:p>
      <w:pPr>
        <w:pStyle w:val="FirstParagraph"/>
      </w:pPr>
      <w:r>
        <w:t xml:space="preserve">The GHG Protocol\'s Land Sector and Removals (LSR) Standard, released on January 30, 2026, provides accounting requirements and guidance for land emissions and CO2 removals, effective January 1, 2027. It applies to entities with significant land sector activities and those choosing to report CO2 removals or CO2 capture with geologic storage. While this PCF for xxrelnjekg does not explicitly involve significant land sector activities (e.g., agriculture), adherence to this standard would be crucial if such activities were part of the product\'s value chain. It facilitates the transparent tracking and reporting of land-based emissions and CO2 removals, including technological removals.</w:t>
      </w:r>
    </w:p>
    <w:bookmarkEnd w:id="32"/>
    <w:bookmarkStart w:id="33" w:name="scope-3-compliance-95-coverage"/>
    <w:p>
      <w:pPr>
        <w:pStyle w:val="Heading3"/>
      </w:pPr>
      <w:r>
        <w:t xml:space="preserve">Scope 3 Compliance (95% Coverage)</w:t>
      </w:r>
    </w:p>
    <w:p>
      <w:pPr>
        <w:pStyle w:val="FirstParagraph"/>
      </w:pPr>
      <w:r>
        <w:t xml:space="preserve">As per the 2026 proposed revisions to the GHG Protocol Scope 3 Standard, companies are required to account for at least 95% of their total required Scope 3 emissions. This ensures comprehensive reporting across the value chain by including all major emission sources by magnitude, allowing flexibility to exclude minor sources up to 5%. Our analysis aims to capture all material Scope 3 categories relevant to xxrelnjekg.</w:t>
      </w:r>
    </w:p>
    <w:bookmarkEnd w:id="33"/>
    <w:bookmarkStart w:id="39" w:name="X4d16e4a28f6cd82bfe585410bd621d8a67b2ee9"/>
    <w:p>
      <w:pPr>
        <w:pStyle w:val="Heading3"/>
      </w:pPr>
      <w:r>
        <w:t xml:space="preserve">Detailed Emission Calculations (Illustrative)</w:t>
      </w:r>
    </w:p>
    <w:bookmarkStart w:id="34" w:name="X6b16960404c59685c4df3efd5e2ea0a970cd219"/>
    <w:p>
      <w:pPr>
        <w:pStyle w:val="Heading4"/>
      </w:pPr>
      <w:r>
        <w:t xml:space="preserve">1. Materials Acquisition &amp; Processing (Upstream - Scope 3, Category 1)</w:t>
      </w:r>
    </w:p>
    <w:p>
      <w:pPr>
        <w:pStyle w:val="FirstParagraph"/>
      </w:pPr>
      <w:r>
        <w:t xml:space="preserve">Based on the illustrative BOM data, the sum of "Total Carbon" values:</w:t>
      </w:r>
    </w:p>
    <w:p>
      <w:pPr>
        <w:numPr>
          <w:ilvl w:val="0"/>
          <w:numId w:val="1008"/>
        </w:numPr>
        <w:pStyle w:val="Compact"/>
      </w:pPr>
      <w:r>
        <w:t xml:space="preserve">Aluminum Casing: 6.00 kgCO2e</w:t>
      </w:r>
    </w:p>
    <w:p>
      <w:pPr>
        <w:numPr>
          <w:ilvl w:val="0"/>
          <w:numId w:val="1008"/>
        </w:numPr>
        <w:pStyle w:val="Compact"/>
      </w:pPr>
      <w:r>
        <w:t xml:space="preserve">Plastic Housing: 0.60 kgCO2e</w:t>
      </w:r>
    </w:p>
    <w:p>
      <w:pPr>
        <w:numPr>
          <w:ilvl w:val="0"/>
          <w:numId w:val="1008"/>
        </w:numPr>
        <w:pStyle w:val="Compact"/>
      </w:pPr>
      <w:r>
        <w:t xml:space="preserve">Circuit Board: 1.50 kgCO2e</w:t>
      </w:r>
    </w:p>
    <w:p>
      <w:pPr>
        <w:numPr>
          <w:ilvl w:val="0"/>
          <w:numId w:val="1008"/>
        </w:numPr>
        <w:pStyle w:val="Compact"/>
      </w:pPr>
      <w:r>
        <w:t xml:space="preserve">Battery Pack: 6.00 kgCO2e</w:t>
      </w:r>
    </w:p>
    <w:p>
      <w:pPr>
        <w:numPr>
          <w:ilvl w:val="0"/>
          <w:numId w:val="1008"/>
        </w:numPr>
        <w:pStyle w:val="Compact"/>
      </w:pPr>
      <w:r>
        <w:t xml:space="preserve">Copper Wire: 0.13 kgCO2e</w:t>
      </w:r>
    </w:p>
    <w:p>
      <w:pPr>
        <w:pStyle w:val="FirstParagraph"/>
      </w:pPr>
      <w:r>
        <w:rPr>
          <w:bCs/>
          <w:b/>
        </w:rPr>
        <w:t xml:space="preserve">Total Material Emissions = 14.23 kgCO2e</w:t>
      </w:r>
    </w:p>
    <w:bookmarkEnd w:id="34"/>
    <w:bookmarkStart w:id="35" w:name="production-phase-scope-2"/>
    <w:p>
      <w:pPr>
        <w:pStyle w:val="Heading4"/>
      </w:pPr>
      <w:r>
        <w:t xml:space="preserve">2. Production Phase (Scope 2)</w:t>
      </w:r>
    </w:p>
    <w:p>
      <w:pPr>
        <w:numPr>
          <w:ilvl w:val="0"/>
          <w:numId w:val="1009"/>
        </w:numPr>
        <w:pStyle w:val="Compact"/>
      </w:pPr>
      <w:r>
        <w:t xml:space="preserve">Total Energy Intensity: 15 kWh/unit</w:t>
      </w:r>
    </w:p>
    <w:p>
      <w:pPr>
        <w:numPr>
          <w:ilvl w:val="0"/>
          <w:numId w:val="1009"/>
        </w:numPr>
        <w:pStyle w:val="Compact"/>
      </w:pPr>
      <w:r>
        <w:t xml:space="preserve">Renewable Energy Usage: 70%</w:t>
      </w:r>
    </w:p>
    <w:p>
      <w:pPr>
        <w:numPr>
          <w:ilvl w:val="0"/>
          <w:numId w:val="1009"/>
        </w:numPr>
        <w:pStyle w:val="Compact"/>
      </w:pPr>
      <w:r>
        <w:t xml:space="preserve">Non-Renewable Energy: 15 kWh/unit * (1 - 0.70) = 4.5 kWh/unit</w:t>
      </w:r>
    </w:p>
    <w:p>
      <w:pPr>
        <w:numPr>
          <w:ilvl w:val="0"/>
          <w:numId w:val="1009"/>
        </w:numPr>
        <w:pStyle w:val="Compact"/>
      </w:pPr>
      <w:r>
        <w:t xml:space="preserve">Illustrative Emission Factor (China Grid): 0.6 kgCO2e/kWh</w:t>
      </w:r>
    </w:p>
    <w:p>
      <w:pPr>
        <w:numPr>
          <w:ilvl w:val="0"/>
          <w:numId w:val="1009"/>
        </w:numPr>
        <w:pStyle w:val="Compact"/>
      </w:pPr>
      <w:r>
        <w:rPr>
          <w:bCs/>
          <w:b/>
        </w:rPr>
        <w:t xml:space="preserve">Production Emissions = 4.5 kWh/unit * 0.6 kgCO2e/kWh = 2.70 kgCO2e</w:t>
      </w:r>
    </w:p>
    <w:bookmarkEnd w:id="35"/>
    <w:bookmarkStart w:id="36" w:name="X18d31c99009e6a09dbdb823d136994ea3d104ca"/>
    <w:p>
      <w:pPr>
        <w:pStyle w:val="Heading4"/>
      </w:pPr>
      <w:r>
        <w:t xml:space="preserve">3. Transportation (Upstream &amp; Downstream - Scope 3, Categories 4 &amp; 9)</w:t>
      </w:r>
    </w:p>
    <w:p>
      <w:pPr>
        <w:numPr>
          <w:ilvl w:val="0"/>
          <w:numId w:val="1010"/>
        </w:numPr>
        <w:pStyle w:val="Compact"/>
      </w:pPr>
      <w:r>
        <w:t xml:space="preserve">Product Weight: 1.15 kg (sum of illustrative BOM quantities)</w:t>
      </w:r>
    </w:p>
    <w:p>
      <w:pPr>
        <w:numPr>
          <w:ilvl w:val="0"/>
          <w:numId w:val="1010"/>
        </w:numPr>
        <w:pStyle w:val="Compact"/>
      </w:pPr>
      <w:r>
        <w:t xml:space="preserve">Ocean Freight Emissions: 1.15 kg * 8000 km * 0.005 kgCO2e/kg-km = 46.00 kgCO2e</w:t>
      </w:r>
    </w:p>
    <w:p>
      <w:pPr>
        <w:numPr>
          <w:ilvl w:val="0"/>
          <w:numId w:val="1010"/>
        </w:numPr>
        <w:pStyle w:val="Compact"/>
      </w:pPr>
      <w:r>
        <w:t xml:space="preserve">Truck (Last-Mile) Emissions: 1.15 kg * 500 km * 0.1 kgCO2e/kg-km = 57.50 kgCO2e</w:t>
      </w:r>
    </w:p>
    <w:p>
      <w:pPr>
        <w:numPr>
          <w:ilvl w:val="0"/>
          <w:numId w:val="1010"/>
        </w:numPr>
        <w:pStyle w:val="Compact"/>
      </w:pPr>
      <w:r>
        <w:rPr>
          <w:bCs/>
          <w:b/>
        </w:rPr>
        <w:t xml:space="preserve">Total Transport Emissions = 46.00 + 57.50 = 103.50 kgCO2e</w:t>
      </w:r>
    </w:p>
    <w:bookmarkEnd w:id="36"/>
    <w:bookmarkStart w:id="37" w:name="X01fffecb4d51cf9638741502492363d57dc681a"/>
    <w:p>
      <w:pPr>
        <w:pStyle w:val="Heading4"/>
      </w:pPr>
      <w:r>
        <w:t xml:space="preserve">4. Use Phase (Downstream - Scope 3, Category 11)</w:t>
      </w:r>
    </w:p>
    <w:p>
      <w:pPr>
        <w:numPr>
          <w:ilvl w:val="0"/>
          <w:numId w:val="1011"/>
        </w:numPr>
        <w:pStyle w:val="Compact"/>
      </w:pPr>
      <w:r>
        <w:t xml:space="preserve">Product Lifespan: 5 years</w:t>
      </w:r>
    </w:p>
    <w:p>
      <w:pPr>
        <w:numPr>
          <w:ilvl w:val="0"/>
          <w:numId w:val="1011"/>
        </w:numPr>
        <w:pStyle w:val="Compact"/>
      </w:pPr>
      <w:r>
        <w:t xml:space="preserve">Energy Consumption in Use: 20 kWh/year</w:t>
      </w:r>
    </w:p>
    <w:p>
      <w:pPr>
        <w:numPr>
          <w:ilvl w:val="0"/>
          <w:numId w:val="1011"/>
        </w:numPr>
        <w:pStyle w:val="Compact"/>
      </w:pPr>
      <w:r>
        <w:t xml:space="preserve">Total Energy in Use: 20 kWh/year * 5 years = 100 kWh</w:t>
      </w:r>
    </w:p>
    <w:p>
      <w:pPr>
        <w:numPr>
          <w:ilvl w:val="0"/>
          <w:numId w:val="1011"/>
        </w:numPr>
        <w:pStyle w:val="Compact"/>
      </w:pPr>
      <w:r>
        <w:t xml:space="preserve">Illustrative Emission Factor (Europe Grid): 0.3 kgCO2e/kWh</w:t>
      </w:r>
    </w:p>
    <w:p>
      <w:pPr>
        <w:numPr>
          <w:ilvl w:val="0"/>
          <w:numId w:val="1011"/>
        </w:numPr>
        <w:pStyle w:val="Compact"/>
      </w:pPr>
      <w:r>
        <w:rPr>
          <w:bCs/>
          <w:b/>
        </w:rPr>
        <w:t xml:space="preserve">Use Phase Emissions = 100 kWh * 0.3 kgCO2e/kWh = 30.00 kgCO2e</w:t>
      </w:r>
    </w:p>
    <w:bookmarkEnd w:id="37"/>
    <w:bookmarkStart w:id="38" w:name="Xfd069e7e5106f6c55e532b52df751e12046219f"/>
    <w:p>
      <w:pPr>
        <w:pStyle w:val="Heading4"/>
      </w:pPr>
      <w:r>
        <w:t xml:space="preserve">5. End-of-Life (Downstream - Scope 3, Category 12)</w:t>
      </w:r>
    </w:p>
    <w:p>
      <w:pPr>
        <w:numPr>
          <w:ilvl w:val="0"/>
          <w:numId w:val="1012"/>
        </w:numPr>
        <w:pStyle w:val="Compact"/>
      </w:pPr>
      <w:r>
        <w:t xml:space="preserve">Product Weight: 1.15 kg</w:t>
      </w:r>
    </w:p>
    <w:p>
      <w:pPr>
        <w:numPr>
          <w:ilvl w:val="0"/>
          <w:numId w:val="1012"/>
        </w:numPr>
        <w:pStyle w:val="Compact"/>
      </w:pPr>
      <w:r>
        <w:t xml:space="preserve">Recyclability Percentage: 80%</w:t>
      </w:r>
    </w:p>
    <w:p>
      <w:pPr>
        <w:numPr>
          <w:ilvl w:val="0"/>
          <w:numId w:val="1012"/>
        </w:numPr>
        <w:pStyle w:val="Compact"/>
      </w:pPr>
      <w:r>
        <w:t xml:space="preserve">Landfilled Portion: 1.15 kg * (1 - 0.80) = 0.23 kg</w:t>
      </w:r>
    </w:p>
    <w:p>
      <w:pPr>
        <w:numPr>
          <w:ilvl w:val="0"/>
          <w:numId w:val="1012"/>
        </w:numPr>
        <w:pStyle w:val="Compact"/>
      </w:pPr>
      <w:r>
        <w:t xml:space="preserve">Landfill Emissions: 0.23 kg * 0.5 kgCO2e/kg = 0.12 kgCO2e</w:t>
      </w:r>
    </w:p>
    <w:p>
      <w:pPr>
        <w:numPr>
          <w:ilvl w:val="0"/>
          <w:numId w:val="1012"/>
        </w:numPr>
        <w:pStyle w:val="Compact"/>
      </w:pPr>
      <w:r>
        <w:t xml:space="preserve">Recycled Portion: 1.15 kg * 0.80 = 0.92 kg</w:t>
      </w:r>
    </w:p>
    <w:p>
      <w:pPr>
        <w:numPr>
          <w:ilvl w:val="0"/>
          <w:numId w:val="1012"/>
        </w:numPr>
        <w:pStyle w:val="Compact"/>
      </w:pPr>
      <w:r>
        <w:t xml:space="preserve">Recycling Avoided Emissions: 0.92 kg * (-1.0 kgCO2e/kg) = -0.92 kgCO2e</w:t>
      </w:r>
    </w:p>
    <w:p>
      <w:pPr>
        <w:numPr>
          <w:ilvl w:val="0"/>
          <w:numId w:val="1012"/>
        </w:numPr>
        <w:pStyle w:val="Compact"/>
      </w:pPr>
      <w:r>
        <w:rPr>
          <w:bCs/>
          <w:b/>
        </w:rPr>
        <w:t xml:space="preserve">Total End-of-Life Emissions = 0.12 - 0.92 = -0.80 kgCO2e</w:t>
      </w:r>
    </w:p>
    <w:bookmarkEnd w:id="38"/>
    <w:bookmarkEnd w:id="39"/>
    <w:bookmarkStart w:id="40" w:name="X84f41fea55ec6f8d2b64be38648089a914632ea"/>
    <w:p>
      <w:pPr>
        <w:pStyle w:val="Heading3"/>
      </w:pPr>
      <w:r>
        <w:t xml:space="preserve">Overall Product Carbon Footprint (PCF) Summary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14.23</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2.70</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103.50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-0.80</w:t>
            </w:r>
          </w:p>
        </w:tc>
      </w:tr>
      <w:tr>
        <w:tc>
          <w:tcPr>
            <w:gridSpan w:val="2"/>
          </w:tcPr>
          <w:p>
            <w:pPr>
              <w:pStyle w:val="Compact"/>
              <w:jc w:val="left"/>
            </w:pPr>
            <w:r>
              <w:t xml:space="preserve">Total Illustrative Product Carbon Footprint</w:t>
            </w:r>
          </w:p>
        </w:tc>
        <w:tc>
          <w:tcPr/>
          <w:p>
            <w:pPr>
              <w:pStyle w:val="Compact"/>
              <w:jc w:val="left"/>
            </w:pPr>
            <w:r>
              <w:rPr>
                <w:bCs/>
                <w:b/>
              </w:rPr>
              <w:t xml:space="preserve">149.63 kgCO2e</w:t>
            </w:r>
          </w:p>
        </w:tc>
      </w:tr>
    </w:tbl>
    <w:p>
      <w:pPr>
        <w:pStyle w:val="BodyText"/>
      </w:pPr>
      <w:r>
        <w:rPr>
          <w:iCs/>
          <w:i/>
        </w:rPr>
        <w:t xml:space="preserve">Note: All calculations are illustrative, based on the placeholder parameters and representative emission factors for demonstration purposes. A full PCF would utilize specific, audited data and up-to-date industry or country-specific emission factors from databases like Ecoinvent or national government sources (e.g., DEFRA for the UK).</w:t>
      </w:r>
    </w:p>
    <w:bookmarkEnd w:id="40"/>
    <w:bookmarkEnd w:id="41"/>
    <w:p>
      <w:r>
        <w:pict>
          <v:rect style="width:0;height:1.5pt" o:hralign="center" o:hrstd="t" o:hr="t"/>
        </w:pict>
      </w:r>
    </w:p>
    <w:bookmarkStart w:id="44" w:name="review-report"/>
    <w:p>
      <w:pPr>
        <w:pStyle w:val="Heading2"/>
      </w:pPr>
      <w:r>
        <w:t xml:space="preserve">5. Review &amp; Report</w:t>
      </w:r>
    </w:p>
    <w:bookmarkStart w:id="42" w:name="emission-hotspots-illustrative"/>
    <w:p>
      <w:pPr>
        <w:pStyle w:val="Heading3"/>
      </w:pPr>
      <w:r>
        <w:t xml:space="preserve">Emission Hotspots (Illustrative)</w:t>
      </w:r>
    </w:p>
    <w:p>
      <w:pPr>
        <w:pStyle w:val="FirstParagraph"/>
      </w:pPr>
      <w:r>
        <w:t xml:space="preserve">Based on the illustrative calculations, the primary emission hotspots for xxrelnjekg are:</w:t>
      </w:r>
    </w:p>
    <w:p>
      <w:pPr>
        <w:numPr>
          <w:ilvl w:val="0"/>
          <w:numId w:val="1013"/>
        </w:numPr>
        <w:pStyle w:val="Compact"/>
      </w:pPr>
      <w:r>
        <w:rPr>
          <w:bCs/>
          <w:b/>
        </w:rPr>
        <w:t xml:space="preserve">Transportation (103.50 kgCO2e):</w:t>
      </w:r>
      <w:r>
        <w:t xml:space="preserve"> </w:t>
      </w:r>
      <w:r>
        <w:t xml:space="preserve">This stage represents the largest portion of the PCF, highlighting the significant impact of global supply chains and freight.</w:t>
      </w:r>
    </w:p>
    <w:p>
      <w:pPr>
        <w:numPr>
          <w:ilvl w:val="0"/>
          <w:numId w:val="1013"/>
        </w:numPr>
        <w:pStyle w:val="Compact"/>
      </w:pPr>
      <w:r>
        <w:rPr>
          <w:bCs/>
          <w:b/>
        </w:rPr>
        <w:t xml:space="preserve">Use Phase (30.00 kgCO2e):</w:t>
      </w:r>
      <w:r>
        <w:t xml:space="preserve"> </w:t>
      </w:r>
      <w:r>
        <w:t xml:space="preserve">The energy consumption during the product\'s operational lifespan is a substantial contributor, emphasizing the importance of energy-efficient design.</w:t>
      </w:r>
    </w:p>
    <w:p>
      <w:pPr>
        <w:numPr>
          <w:ilvl w:val="0"/>
          <w:numId w:val="1013"/>
        </w:numPr>
        <w:pStyle w:val="Compact"/>
      </w:pPr>
      <w:r>
        <w:rPr>
          <w:bCs/>
          <w:b/>
        </w:rPr>
        <w:t xml:space="preserve">Materials Acquisition &amp; Processing (14.23 kgCO2e):</w:t>
      </w:r>
      <w:r>
        <w:t xml:space="preserve"> </w:t>
      </w:r>
      <w:r>
        <w:t xml:space="preserve">The raw materials, particularly components with high embodied emissions like aluminum and batteries, contribute significantly.</w:t>
      </w:r>
    </w:p>
    <w:bookmarkEnd w:id="42"/>
    <w:bookmarkStart w:id="43" w:name="reliability-and-recommendations"/>
    <w:p>
      <w:pPr>
        <w:pStyle w:val="Heading3"/>
      </w:pPr>
      <w:r>
        <w:t xml:space="preserve">Reliability and Recommendations</w:t>
      </w:r>
    </w:p>
    <w:p>
      <w:pPr>
        <w:pStyle w:val="FirstParagraph"/>
      </w:pPr>
      <w:r>
        <w:t xml:space="preserve">The reliability of this PCF is dependent on the accuracy and specificity of the input data. For a truly accurate PCF, primary data from suppliers (e.g., specific manufacturing energy consumption, material compositions) and precise logistics data are essential. The use of average or secondary emission factors, while necessary for this demonstration, introduces a degree of uncertainty.</w:t>
      </w:r>
    </w:p>
    <w:p>
      <w:pPr>
        <w:pStyle w:val="BodyText"/>
      </w:pPr>
      <w:r>
        <w:rPr>
          <w:bCs/>
          <w:b/>
        </w:rPr>
        <w:t xml:space="preserve">Recommendations for Emission Reduction:</w:t>
      </w:r>
    </w:p>
    <w:p>
      <w:pPr>
        <w:numPr>
          <w:ilvl w:val="0"/>
          <w:numId w:val="1014"/>
        </w:numPr>
        <w:pStyle w:val="Compact"/>
      </w:pPr>
      <w:r>
        <w:rPr>
          <w:bCs/>
          <w:b/>
        </w:rPr>
        <w:t xml:space="preserve">Optimize Logistics:</w:t>
      </w:r>
      <w:r>
        <w:t xml:space="preserve"> </w:t>
      </w:r>
      <w:r>
        <w:t xml:space="preserve">Investigate opportunities to reduce transportation distances, shift to lower-emission transport modes (e.g., rail over air freight where feasible), and consolidate shipments.</w:t>
      </w:r>
    </w:p>
    <w:p>
      <w:pPr>
        <w:numPr>
          <w:ilvl w:val="0"/>
          <w:numId w:val="1014"/>
        </w:numPr>
        <w:pStyle w:val="Compact"/>
      </w:pPr>
      <w:r>
        <w:rPr>
          <w:bCs/>
          <w:b/>
        </w:rPr>
        <w:t xml:space="preserve">Enhance Product Energy Efficiency:</w:t>
      </w:r>
      <w:r>
        <w:t xml:space="preserve"> </w:t>
      </w:r>
      <w:r>
        <w:t xml:space="preserve">Focus R&amp;D on minimizing energy consumption during the product\'s use phase, potentially through more efficient components or power management features.</w:t>
      </w:r>
    </w:p>
    <w:p>
      <w:pPr>
        <w:numPr>
          <w:ilvl w:val="0"/>
          <w:numId w:val="1014"/>
        </w:numPr>
        <w:pStyle w:val="Compact"/>
      </w:pPr>
      <w:r>
        <w:rPr>
          <w:bCs/>
          <w:b/>
        </w:rPr>
        <w:t xml:space="preserve">Sustainable Material Sourcing:</w:t>
      </w:r>
      <w:r>
        <w:t xml:space="preserve"> </w:t>
      </w:r>
      <w:r>
        <w:t xml:space="preserve">Explore sourcing lower-carbon alternative materials, increasing recycled content, or working with suppliers who use renewable energy in their production processes.</w:t>
      </w:r>
    </w:p>
    <w:p>
      <w:pPr>
        <w:numPr>
          <w:ilvl w:val="0"/>
          <w:numId w:val="1014"/>
        </w:numPr>
        <w:pStyle w:val="Compact"/>
      </w:pPr>
      <w:r>
        <w:rPr>
          <w:bCs/>
          <w:b/>
        </w:rPr>
        <w:t xml:space="preserve">Strengthen Circularity:</w:t>
      </w:r>
      <w:r>
        <w:t xml:space="preserve"> </w:t>
      </w:r>
      <w:r>
        <w:t xml:space="preserve">Continue to expand the existing take-back programs and investigate advanced recycling technologies to maximize material recovery and minimize end-of-life impacts.</w:t>
      </w:r>
    </w:p>
    <w:p>
      <w:pPr>
        <w:numPr>
          <w:ilvl w:val="0"/>
          <w:numId w:val="1014"/>
        </w:numPr>
        <w:pStyle w:val="Compact"/>
      </w:pPr>
      <w:r>
        <w:rPr>
          <w:bCs/>
          <w:b/>
        </w:rPr>
        <w:t xml:space="preserve">Increase Renewable Energy Adoption:</w:t>
      </w:r>
      <w:r>
        <w:t xml:space="preserve"> </w:t>
      </w:r>
      <w:r>
        <w:t xml:space="preserve">Where direct control is possible, increase the use of renewable energy in manufacturing operations. For outsourced production, engage with suppliers to encourage their transition to renewable energy sources.</w:t>
      </w:r>
    </w:p>
    <w:bookmarkEnd w:id="43"/>
    <w:bookmarkEnd w:id="44"/>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xxrelnjekg</dc:title>
  <dc:creator/>
  <dc:description>Detailed Product Carbon Footprint (PCF) analysis for xxrelnjekg, performed by wgudswkpsi for xdivtjxdkg, adhering to GHG Protocol standards and 2026 updates.</dc:description>
  <dc:language>en</dc:language>
  <cp:keywords/>
  <dcterms:created xsi:type="dcterms:W3CDTF">2026-07-15T02:58:13Z</dcterms:created>
  <dcterms:modified xsi:type="dcterms:W3CDTF">2026-07-15T02:58:13Z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