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xxgninzirz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xxgninzirz</w:t>
      </w:r>
    </w:p>
    <w:p>
      <w:pPr>
        <w:pStyle w:val="BodyText"/>
      </w:pPr>
      <w:r>
        <w:rPr>
          <w:bCs/>
          <w:b/>
        </w:rPr>
        <w:t xml:space="preserve">Company Name:</w:t>
      </w:r>
      <w:r>
        <w:t xml:space="preserve"> </w:t>
      </w:r>
      <w:r>
        <w:t xml:space="preserve">grjpnkkhln</w:t>
      </w:r>
    </w:p>
    <w:p>
      <w:pPr>
        <w:pStyle w:val="BodyText"/>
      </w:pPr>
      <w:r>
        <w:rPr>
          <w:bCs/>
          <w:b/>
        </w:rPr>
        <w:t xml:space="preserve">Senior Sustainability Consultant:</w:t>
      </w:r>
      <w:r>
        <w:t xml:space="preserve"> </w:t>
      </w:r>
      <w:r>
        <w:t xml:space="preserve">qikoigwzrw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values for placeholder parameters. Actual calculations require precise, primary data for full accuracy.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xxgninzirz, on behalf of grjpnkkhln. As Senior Sustainability Consultant qikoigwzrw, this analysis adheres strictly to the GHG Protocol, including the 2026 Land Sector and Removals (LSR) Standard update and aims for at least 95% coverage for Scope 3 emissions. The methodology covers the entire product lifecycle from raw material extraction to end-of-life, with a primary focus on cradle-to-gate emissions for manufacturing. Key hotspots in the product\'s lifecycle are identified to inform targeted emission reduction strategies.</w:t>
      </w:r>
    </w:p>
    <w:bookmarkEnd w:id="22"/>
    <w:p>
      <w:r>
        <w:pict>
          <v:rect style="width:0;height:1.5pt" o:hralign="center" o:hrstd="t" o:hr="t"/>
        </w:pict>
      </w:r>
    </w:p>
    <w:bookmarkStart w:id="28" w:name="define-scope"/>
    <w:p>
      <w:pPr>
        <w:pStyle w:val="Heading2"/>
      </w:pPr>
      <w:r>
        <w:t xml:space="preserve">1. Define Scope</w:t>
      </w:r>
    </w:p>
    <w:p>
      <w:pPr>
        <w:pStyle w:val="FirstParagraph"/>
      </w:pPr>
      <w:r>
        <w:t xml:space="preserve">The first step in any robust PCF analysis is to clearly define the goal and scope of the study. This ensures consistency and comparability of results.</w:t>
      </w:r>
    </w:p>
    <w:bookmarkStart w:id="23"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xxgninzirz</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analysis follows a "Cradle-to-Extended-Gate" approach. While the primary system boundary for manufacturing emissions is set at the</w:t>
      </w:r>
      <w:r>
        <w:t xml:space="preserve"> </w:t>
      </w:r>
      <w:r>
        <w:rPr>
          <w:bCs/>
          <w:b/>
        </w:rPr>
        <w:t xml:space="preserve">factory_gate</w:t>
      </w:r>
      <w:r>
        <w:t xml:space="preserve">, the analysis is expanded to include the downstream Use Phase and End-of-Life (EoL) scenarios, as explicitly requested, to provide a comprehensive lifecycle perspective of the product xxgninzirz. This extended boundary includes:</w:t>
      </w:r>
    </w:p>
    <w:p>
      <w:pPr>
        <w:numPr>
          <w:ilvl w:val="0"/>
          <w:numId w:val="1002"/>
        </w:numPr>
        <w:pStyle w:val="Compact"/>
      </w:pPr>
      <w:r>
        <w:rPr>
          <w:bCs/>
          <w:b/>
        </w:rPr>
        <w:t xml:space="preserve">Upstream (Scope 3):</w:t>
      </w:r>
      <w:r>
        <w:t xml:space="preserve"> </w:t>
      </w:r>
      <w:r>
        <w:t xml:space="preserve">Raw material extraction and processing, inbound transportation to manufacturing facility.</w:t>
      </w:r>
    </w:p>
    <w:p>
      <w:pPr>
        <w:numPr>
          <w:ilvl w:val="0"/>
          <w:numId w:val="1002"/>
        </w:numPr>
        <w:pStyle w:val="Compact"/>
      </w:pPr>
      <w:r>
        <w:rPr>
          <w:bCs/>
          <w:b/>
        </w:rPr>
        <w:t xml:space="preserve">Core Production (Scope 1 &amp; 2):</w:t>
      </w:r>
      <w:r>
        <w:t xml:space="preserve"> </w:t>
      </w:r>
      <w:r>
        <w:t xml:space="preserve">Manufacturing processes at the grjpnkkhln facility, including direct emissions (Scope 1) and energy consumption (Scope 2).</w:t>
      </w:r>
    </w:p>
    <w:p>
      <w:pPr>
        <w:numPr>
          <w:ilvl w:val="0"/>
          <w:numId w:val="1002"/>
        </w:numPr>
        <w:pStyle w:val="Compact"/>
      </w:pPr>
      <w:r>
        <w:rPr>
          <w:bCs/>
          <w:b/>
        </w:rPr>
        <w:t xml:space="preserve">Downstream (Scope 3):</w:t>
      </w:r>
      <w:r>
        <w:t xml:space="preserve"> </w:t>
      </w:r>
      <w:r>
        <w:t xml:space="preserve">Outbound transportation from the factory to the customer, product use phase, and end-of-life treatment.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initial transportation legs).</w:t>
      </w:r>
    </w:p>
    <w:p>
      <w:pPr>
        <w:numPr>
          <w:ilvl w:val="0"/>
          <w:numId w:val="1003"/>
        </w:numPr>
        <w:pStyle w:val="Compact"/>
      </w:pPr>
      <w:r>
        <w:rPr>
          <w:bCs/>
          <w:b/>
        </w:rPr>
        <w:t xml:space="preserve">Market for Use and End-of-Life:</w:t>
      </w:r>
      <w:r>
        <w:t xml:space="preserve"> </w:t>
      </w:r>
      <w:r>
        <w:t xml:space="preserve">Assumed to be globally representative, with factors adapted to general consumer use and waste management practices.</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 principles and requirements of the</w:t>
      </w:r>
      <w:r>
        <w:t xml:space="preserve"> </w:t>
      </w:r>
      <w:r>
        <w:rPr>
          <w:bCs/>
          <w:b/>
        </w:rPr>
        <w:t xml:space="preserve">GHG Protocol Product Life Cycle Accounting and Reporting Standard</w:t>
      </w:r>
      <w:r>
        <w:t xml:space="preserve">. This ensures a standardized and credible approach to quantifying GHG emissions associated with xxgninzirz.</w:t>
      </w:r>
    </w:p>
    <w:p>
      <w:pPr>
        <w:numPr>
          <w:ilvl w:val="0"/>
          <w:numId w:val="1004"/>
        </w:numPr>
        <w:pStyle w:val="Compact"/>
      </w:pPr>
      <w:r>
        <w:t xml:space="preserve">Furthermore, the analysis incorporates the principles of the</w:t>
      </w:r>
      <w:r>
        <w:t xml:space="preserve"> </w:t>
      </w:r>
      <w:r>
        <w:rPr>
          <w:bCs/>
          <w:b/>
        </w:rPr>
        <w:t xml:space="preserve">2026 Land Sector and Removals (LSR) Standard update</w:t>
      </w:r>
      <w:r>
        <w:t xml:space="preserve"> </w:t>
      </w:r>
      <w:r>
        <w:t xml:space="preserve">for land-use related emissions and carbon removals, where applicable for relevant material inputs, to align with the latest GHG accounting requirements.</w:t>
      </w:r>
    </w:p>
    <w:bookmarkEnd w:id="26"/>
    <w:bookmarkStart w:id="27" w:name="allocation"/>
    <w:p>
      <w:pPr>
        <w:pStyle w:val="Heading3"/>
      </w:pPr>
      <w:r>
        <w:t xml:space="preserve">1.5. Allocation</w:t>
      </w:r>
    </w:p>
    <w:p>
      <w:pPr>
        <w:pStyle w:val="FirstParagraph"/>
      </w:pPr>
      <w:r>
        <w:t xml:space="preserve">Emissions are directly attributed to the functional unit (1.0 unit of xxgninzirz). For processes involving co-products or multiple outputs, mass-based allocation is generally applied unless a more appropriate physical or economic causality is evident. No specific co-products were identified for this product, simplifying allocation for the primary product.</w:t>
      </w:r>
    </w:p>
    <w:bookmarkEnd w:id="27"/>
    <w:bookmarkEnd w:id="28"/>
    <w:p>
      <w:r>
        <w:pict>
          <v:rect style="width:0;height:1.5pt" o:hralign="center" o:hrstd="t" o:hr="t"/>
        </w:pict>
      </w:r>
    </w:p>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inputs across the product\'s lifecycle stages. Given that specific numerical data for Bill of Materials (BOM), transport, energy, lifespan, and end-of-life parameters were provided as placeholders, illustrative values have been used for calculation purposes. In a real-world scenario, precise primary data would be collected from suppliers and internal operations for maximum accuracy.</w:t>
      </w:r>
    </w:p>
    <w:bookmarkStart w:id="29" w:name="Xa124a95b981c370289279a4b723120ad8e79cc2"/>
    <w:p>
      <w:pPr>
        <w:pStyle w:val="Heading3"/>
      </w:pPr>
      <w:r>
        <w:t xml:space="preserve">2.1. Materials Acquisition &amp; Pre-processing (Scope 3 - Upstream)</w:t>
      </w:r>
    </w:p>
    <w:p>
      <w:pPr>
        <w:pStyle w:val="FirstParagraph"/>
      </w:pPr>
      <w:r>
        <w:t xml:space="preserve">The detailed Bill of Materials (BOM) for xxgninzirz (placeholder: zmjoqvsr) is crucial for calculating the upstream material impact. For demonstration, a hypothetical BOM is presented below with illustrative emission factors, representing common materials found in products. These factors are adapted from industry standards (e.g., Ecoinvent/DEFRA principles) for illustration.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 (Illustrative)</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Granulate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 (Illustrative)</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Steel (Stainless)</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 (Illustrative)</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 (Illustrative)</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 &amp; Fab.</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(Illustrative per unit)</w:t>
            </w:r>
          </w:p>
        </w:tc>
        <w:tc>
          <w:tcPr/>
          <w:p>
            <w:pPr>
              <w:pStyle w:val="Compact"/>
              <w:jc w:val="left"/>
            </w:pPr>
            <w:r>
              <w:t xml:space="preserve">0.50</w:t>
            </w:r>
          </w:p>
        </w:tc>
      </w:tr>
      <w:tr>
        <w:tc>
          <w:tcPr>
            <w:gridSpan w:val="7"/>
          </w:tcPr>
          <w:p>
            <w:pPr>
              <w:pStyle w:val="Compact"/>
              <w:jc w:val="left"/>
            </w:pPr>
            <w:r>
              <w:rPr>
                <w:bCs/>
                <w:b/>
              </w:rPr>
              <w:t xml:space="preserve">Total Material Carbon Footprint (Illustrative)</w:t>
            </w:r>
          </w:p>
        </w:tc>
        <w:tc>
          <w:tcPr/>
          <w:p>
            <w:pPr>
              <w:pStyle w:val="Compact"/>
              <w:jc w:val="left"/>
            </w:pPr>
            <w:r>
              <w:rPr>
                <w:bCs/>
                <w:b/>
              </w:rPr>
              <w:t xml:space="preserve">6.45 kg CO2e</w:t>
            </w:r>
          </w:p>
        </w:tc>
      </w:tr>
    </w:tbl>
    <w:p>
      <w:pPr>
        <w:pStyle w:val="BodyText"/>
      </w:pPr>
      <w:r>
        <w:rPr>
          <w:iCs/>
          <w:i/>
        </w:rPr>
        <w:t xml:space="preserve">Note: The "Emission Factor" and "Total Carbon" values are illustrative due to the placeholder BOM data (`zmjoqvsr`). Actual calculations would use verified, material-specific emission factors from databases like Ecoinvent or industry-specific LCAs.</w:t>
      </w:r>
    </w:p>
    <w:bookmarkEnd w:id="29"/>
    <w:bookmarkStart w:id="30" w:name="manufacturing-energy-inputs-scope-1-2"/>
    <w:p>
      <w:pPr>
        <w:pStyle w:val="Heading3"/>
      </w:pPr>
      <w:r>
        <w:t xml:space="preserve">2.2. Manufacturing Energy Inputs (Scope 1 &amp; 2)</w:t>
      </w:r>
    </w:p>
    <w:p>
      <w:pPr>
        <w:pStyle w:val="FirstParagraph"/>
      </w:pPr>
      <w:r>
        <w:t xml:space="preserve">The production phase for xxgninzirz takes place in China. Energy consumption and its source directly influence the manufacturing footprint.</w:t>
      </w:r>
    </w:p>
    <w:p>
      <w:pPr>
        <w:numPr>
          <w:ilvl w:val="0"/>
          <w:numId w:val="1005"/>
        </w:numPr>
        <w:pStyle w:val="Compact"/>
      </w:pPr>
      <w:r>
        <w:rPr>
          <w:bCs/>
          <w:b/>
        </w:rPr>
        <w:t xml:space="preserve">Energy Intensity (kWh/unit):</w:t>
      </w:r>
      <w:r>
        <w:t xml:space="preserve"> </w:t>
      </w:r>
      <w:r>
        <w:t xml:space="preserve">mfrndpknnf (Illustrative: 5 kWh/unit)</w:t>
      </w:r>
    </w:p>
    <w:p>
      <w:pPr>
        <w:numPr>
          <w:ilvl w:val="0"/>
          <w:numId w:val="1005"/>
        </w:numPr>
        <w:pStyle w:val="Compact"/>
      </w:pPr>
      <w:r>
        <w:rPr>
          <w:bCs/>
          <w:b/>
        </w:rPr>
        <w:t xml:space="preserve">Renewable Energy Usage:</w:t>
      </w:r>
      <w:r>
        <w:t xml:space="preserve"> </w:t>
      </w:r>
      <w:r>
        <w:t xml:space="preserve">lqwkzmkyrv (Illustrative: 50% renewable energy procurement)</w:t>
      </w:r>
    </w:p>
    <w:p>
      <w:pPr>
        <w:pStyle w:val="FirstParagraph"/>
      </w:pPr>
      <w:r>
        <w:t xml:space="preserve">The national average electricity carbon footprint factor for China in 2023 is 0.6205 kgCO₂e/kWh. With an illustrative 50% renewable energy procurement, the effective emission factor for purchased electricity (Scope 2) is calculated as follows:</w:t>
      </w:r>
    </w:p>
    <w:p>
      <w:pPr>
        <w:pStyle w:val="BodyText"/>
      </w:pPr>
      <w:r>
        <w:t xml:space="preserve">Effective Electricity EF = China Grid EF × (1 - % Renewable) + Renewable EF × % Renewable</w:t>
      </w:r>
    </w:p>
    <w:p>
      <w:pPr>
        <w:pStyle w:val="BodyText"/>
      </w:pPr>
      <w:r>
        <w:t xml:space="preserve">Assuming a near-zero emission factor for procured renewable energy (0.00 kgCO2e/kWh for simplicity in illustrative scenario if certified green energy), and China\'s grid emission factor of 0.6205 kgCO₂e/kWh:</w:t>
      </w:r>
    </w:p>
    <w:p>
      <w:pPr>
        <w:pStyle w:val="BodyText"/>
      </w:pPr>
      <w:r>
        <w:t xml:space="preserve">Effective Electricity EF = 0.6205 kgCO₂e/kWh × (1 - 0.50) + 0.00 kgCO₂e/kWh × 0.50 = 0.31025 kgCO₂e/kWh</w:t>
      </w:r>
    </w:p>
    <w:p>
      <w:pPr>
        <w:pStyle w:val="BodyText"/>
      </w:pPr>
      <w:r>
        <w:rPr>
          <w:bCs/>
          <w:b/>
        </w:rPr>
        <w:t xml:space="preserve">Manufacturing Electricity Emissions (Illustrative):</w:t>
      </w:r>
    </w:p>
    <w:p>
      <w:pPr>
        <w:pStyle w:val="BodyText"/>
      </w:pPr>
      <w:r>
        <w:t xml:space="preserve">5 kWh/unit × 0.31025 kgCO₂e/kWh =</w:t>
      </w:r>
      <w:r>
        <w:t xml:space="preserve"> </w:t>
      </w:r>
      <w:r>
        <w:rPr>
          <w:bCs/>
          <w:b/>
        </w:rPr>
        <w:t xml:space="preserve">1.55 kg CO2e/unit</w:t>
      </w:r>
    </w:p>
    <w:p>
      <w:pPr>
        <w:pStyle w:val="BodyText"/>
      </w:pPr>
      <w:r>
        <w:rPr>
          <w:iCs/>
          <w:i/>
        </w:rPr>
        <w:t xml:space="preserve">Note: Direct (Scope 1) emissions from on-site fuel combustion are assumed to be negligible for this product\'s manufacturing process or are integrated into general utility consumption if not specified. Precise primary data from the grjpnkkhln facility would be required for accurate Scope 1 accounting.</w:t>
      </w:r>
    </w:p>
    <w:bookmarkEnd w:id="30"/>
    <w:bookmarkStart w:id="31" w:name="X9795cd1974d18f66faafdaafe7a0219ede81315"/>
    <w:p>
      <w:pPr>
        <w:pStyle w:val="Heading3"/>
      </w:pPr>
      <w:r>
        <w:t xml:space="preserve">2.3. Transport Logistics (Scope 3 - Upstream &amp; Downstream)</w:t>
      </w:r>
    </w:p>
    <w:p>
      <w:pPr>
        <w:pStyle w:val="FirstParagraph"/>
      </w:pPr>
      <w:r>
        <w:t xml:space="preserve">Transportation plays a significant role in the overall product footprint. The analysis incorporates specific logistics data, using illustrative distances and modes.</w:t>
      </w:r>
    </w:p>
    <w:p>
      <w:pPr>
        <w:numPr>
          <w:ilvl w:val="0"/>
          <w:numId w:val="1006"/>
        </w:numPr>
        <w:pStyle w:val="Compact"/>
      </w:pPr>
      <w:r>
        <w:rPr>
          <w:bCs/>
          <w:b/>
        </w:rPr>
        <w:t xml:space="preserve">Transport Mode:</w:t>
      </w:r>
      <w:r>
        <w:t xml:space="preserve"> </w:t>
      </w:r>
      <w:r>
        <w:t xml:space="preserve">Select Mode (Illustrative: Ocean Freight for primary leg, Road Freight for secondary and last-mile)</w:t>
      </w:r>
    </w:p>
    <w:p>
      <w:pPr>
        <w:numPr>
          <w:ilvl w:val="0"/>
          <w:numId w:val="1006"/>
        </w:numPr>
        <w:pStyle w:val="Compact"/>
      </w:pPr>
      <w:r>
        <w:rPr>
          <w:bCs/>
          <w:b/>
        </w:rPr>
        <w:t xml:space="preserve">Transport Distance:</w:t>
      </w:r>
      <w:r>
        <w:t xml:space="preserve"> </w:t>
      </w:r>
      <w:r>
        <w:t xml:space="preserve">wqnregdzlq (Illustrative: 15,000 km for ocean freight from Europe to China, 1,000 km for European road freight, 500 km for Chinese road freight).</w:t>
      </w:r>
    </w:p>
    <w:p>
      <w:pPr>
        <w:numPr>
          <w:ilvl w:val="0"/>
          <w:numId w:val="1006"/>
        </w:numPr>
        <w:pStyle w:val="Compact"/>
      </w:pPr>
      <w:r>
        <w:rPr>
          <w:bCs/>
          <w:b/>
        </w:rPr>
        <w:t xml:space="preserve">Last-Mile Delivery Channel:</w:t>
      </w:r>
      <w:r>
        <w:t xml:space="preserve"> </w:t>
      </w:r>
      <w:r>
        <w:t xml:space="preserve">Delivery Type (Illustrative: Standard Parcel Delivery via Road Freight).</w:t>
      </w:r>
    </w:p>
    <w:p>
      <w:pPr>
        <w:pStyle w:val="FirstParagraph"/>
      </w:pPr>
      <w:r>
        <w:rPr>
          <w:bCs/>
          <w:b/>
        </w:rPr>
        <w:t xml:space="preserve">Illustrative Transport Parameters: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Leg</w:t>
            </w:r>
          </w:p>
        </w:tc>
        <w:tc>
          <w:tcPr/>
          <w:p>
            <w:pPr>
              <w:pStyle w:val="Compact"/>
              <w:jc w:val="left"/>
            </w:pPr>
            <w:r>
              <w:t xml:space="preserve">Mode</w:t>
            </w:r>
          </w:p>
        </w:tc>
        <w:tc>
          <w:tcPr/>
          <w:p>
            <w:pPr>
              <w:pStyle w:val="Compact"/>
              <w:jc w:val="left"/>
            </w:pPr>
            <w:r>
              <w:t xml:space="preserve">Origin</w:t>
            </w:r>
          </w:p>
        </w:tc>
        <w:tc>
          <w:tcPr/>
          <w:p>
            <w:pPr>
              <w:pStyle w:val="Compact"/>
              <w:jc w:val="left"/>
            </w:pPr>
            <w:r>
              <w:t xml:space="preserve">Destination</w:t>
            </w:r>
          </w:p>
        </w:tc>
        <w:tc>
          <w:tcPr/>
          <w:p>
            <w:pPr>
              <w:pStyle w:val="Compact"/>
              <w:jc w:val="left"/>
            </w:pPr>
            <w:r>
              <w:t xml:space="preserve">Distance (km)</w:t>
            </w:r>
          </w:p>
        </w:tc>
        <w:tc>
          <w:tcPr/>
          <w:p>
            <w:pPr>
              <w:pStyle w:val="Compact"/>
              <w:jc w:val="left"/>
            </w:pPr>
            <w:r>
              <w:t xml:space="preserve">Mass (kg/unit)</w:t>
            </w:r>
          </w:p>
        </w:tc>
        <w:tc>
          <w:tcPr/>
          <w:p>
            <w:pPr>
              <w:pStyle w:val="Compact"/>
              <w:jc w:val="left"/>
            </w:pPr>
            <w:r>
              <w:t xml:space="preserve">Emission Factor (kg CO2e/tonne-km)</w:t>
            </w:r>
          </w:p>
        </w:tc>
        <w:tc>
          <w:tcPr/>
          <w:p>
            <w:pPr>
              <w:pStyle w:val="Compact"/>
              <w:jc w:val="left"/>
            </w:pPr>
            <w:r>
              <w:t xml:space="preserve">Total Carbon (kg CO2e/unit)</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Europe</w:t>
            </w:r>
          </w:p>
        </w:tc>
        <w:tc>
          <w:tcPr/>
          <w:p>
            <w:pPr>
              <w:pStyle w:val="Compact"/>
              <w:jc w:val="left"/>
            </w:pPr>
            <w:r>
              <w:t xml:space="preserve">China (Factory)</w:t>
            </w:r>
          </w:p>
        </w:tc>
        <w:tc>
          <w:tcPr/>
          <w:p>
            <w:pPr>
              <w:pStyle w:val="Compact"/>
              <w:jc w:val="left"/>
            </w:pPr>
            <w:r>
              <w:t xml:space="preserve">15,000</w:t>
            </w:r>
          </w:p>
        </w:tc>
        <w:tc>
          <w:tcPr/>
          <w:p>
            <w:pPr>
              <w:pStyle w:val="Compact"/>
              <w:jc w:val="left"/>
            </w:pPr>
            <w:r>
              <w:t xml:space="preserve">1.2 (Total material weight)</w:t>
            </w:r>
          </w:p>
        </w:tc>
        <w:tc>
          <w:tcPr/>
          <w:p>
            <w:pPr>
              <w:pStyle w:val="Compact"/>
              <w:jc w:val="left"/>
            </w:pPr>
            <w:r>
              <w:t xml:space="preserve">0.016142</w:t>
            </w:r>
          </w:p>
        </w:tc>
        <w:tc>
          <w:tcPr/>
          <w:p>
            <w:pPr>
              <w:pStyle w:val="Compact"/>
              <w:jc w:val="left"/>
            </w:pPr>
            <w:r>
              <w:t xml:space="preserve">0.29</w:t>
            </w:r>
          </w:p>
        </w:tc>
      </w:tr>
      <w:tr>
        <w:tc>
          <w:tcPr/>
          <w:p>
            <w:pPr>
              <w:pStyle w:val="Compact"/>
              <w:jc w:val="left"/>
            </w:pPr>
            <w:r>
              <w:t xml:space="preserve">Upstream (Materials)</w:t>
            </w:r>
          </w:p>
        </w:tc>
        <w:tc>
          <w:tcPr/>
          <w:p>
            <w:pPr>
              <w:pStyle w:val="Compact"/>
              <w:jc w:val="left"/>
            </w:pPr>
            <w:r>
              <w:t xml:space="preserve">Road Freight</w:t>
            </w:r>
          </w:p>
        </w:tc>
        <w:tc>
          <w:tcPr/>
          <w:p>
            <w:pPr>
              <w:pStyle w:val="Compact"/>
              <w:jc w:val="left"/>
            </w:pPr>
            <w:r>
              <w:t xml:space="preserve">Europe (Supplier)</w:t>
            </w:r>
          </w:p>
        </w:tc>
        <w:tc>
          <w:tcPr/>
          <w:p>
            <w:pPr>
              <w:pStyle w:val="Compact"/>
              <w:jc w:val="left"/>
            </w:pPr>
            <w:r>
              <w:t xml:space="preserve">Europe (Port)</w:t>
            </w:r>
          </w:p>
        </w:tc>
        <w:tc>
          <w:tcPr/>
          <w:p>
            <w:pPr>
              <w:pStyle w:val="Compact"/>
              <w:jc w:val="left"/>
            </w:pPr>
            <w:r>
              <w:t xml:space="preserve">1,000</w:t>
            </w:r>
          </w:p>
        </w:tc>
        <w:tc>
          <w:tcPr/>
          <w:p>
            <w:pPr>
              <w:pStyle w:val="Compact"/>
              <w:jc w:val="left"/>
            </w:pPr>
            <w:r>
              <w:t xml:space="preserve">1.2</w:t>
            </w:r>
          </w:p>
        </w:tc>
        <w:tc>
          <w:tcPr/>
          <w:p>
            <w:pPr>
              <w:pStyle w:val="Compact"/>
              <w:jc w:val="left"/>
            </w:pPr>
            <w:r>
              <w:t xml:space="preserve">0.069</w:t>
            </w:r>
          </w:p>
        </w:tc>
        <w:tc>
          <w:tcPr/>
          <w:p>
            <w:pPr>
              <w:pStyle w:val="Compact"/>
              <w:jc w:val="left"/>
            </w:pPr>
            <w:r>
              <w:t xml:space="preserve">0.08</w:t>
            </w:r>
          </w:p>
        </w:tc>
      </w:tr>
      <w:tr>
        <w:tc>
          <w:tcPr/>
          <w:p>
            <w:pPr>
              <w:pStyle w:val="Compact"/>
              <w:jc w:val="left"/>
            </w:pPr>
            <w:r>
              <w:t xml:space="preserve">Downstream (Product)</w:t>
            </w:r>
          </w:p>
        </w:tc>
        <w:tc>
          <w:tcPr/>
          <w:p>
            <w:pPr>
              <w:pStyle w:val="Compact"/>
              <w:jc w:val="left"/>
            </w:pPr>
            <w:r>
              <w:t xml:space="preserve">Road Freight</w:t>
            </w:r>
          </w:p>
        </w:tc>
        <w:tc>
          <w:tcPr/>
          <w:p>
            <w:pPr>
              <w:pStyle w:val="Compact"/>
              <w:jc w:val="left"/>
            </w:pPr>
            <w:r>
              <w:t xml:space="preserve">China (Factory)</w:t>
            </w:r>
          </w:p>
        </w:tc>
        <w:tc>
          <w:tcPr/>
          <w:p>
            <w:pPr>
              <w:pStyle w:val="Compact"/>
              <w:jc w:val="left"/>
            </w:pPr>
            <w:r>
              <w:t xml:space="preserve">Local Distribution</w:t>
            </w:r>
          </w:p>
        </w:tc>
        <w:tc>
          <w:tcPr/>
          <w:p>
            <w:pPr>
              <w:pStyle w:val="Compact"/>
              <w:jc w:val="left"/>
            </w:pPr>
            <w:r>
              <w:t xml:space="preserve">500</w:t>
            </w:r>
          </w:p>
        </w:tc>
        <w:tc>
          <w:tcPr/>
          <w:p>
            <w:pPr>
              <w:pStyle w:val="Compact"/>
              <w:jc w:val="left"/>
            </w:pPr>
            <w:r>
              <w:t xml:space="preserve">1.0 (Product weight)</w:t>
            </w:r>
          </w:p>
        </w:tc>
        <w:tc>
          <w:tcPr/>
          <w:p>
            <w:pPr>
              <w:pStyle w:val="Compact"/>
              <w:jc w:val="left"/>
            </w:pPr>
            <w:r>
              <w:t xml:space="preserve">0.069</w:t>
            </w:r>
          </w:p>
        </w:tc>
        <w:tc>
          <w:tcPr/>
          <w:p>
            <w:pPr>
              <w:pStyle w:val="Compact"/>
              <w:jc w:val="left"/>
            </w:pPr>
            <w:r>
              <w:t xml:space="preserve">0.03</w:t>
            </w:r>
          </w:p>
        </w:tc>
      </w:tr>
      <w:tr>
        <w:tc>
          <w:tcPr/>
          <w:p>
            <w:pPr>
              <w:pStyle w:val="Compact"/>
              <w:jc w:val="left"/>
            </w:pPr>
            <w:r>
              <w:t xml:space="preserve">Last-Mile Delivery</w:t>
            </w:r>
          </w:p>
        </w:tc>
        <w:tc>
          <w:tcPr/>
          <w:p>
            <w:pPr>
              <w:pStyle w:val="Compact"/>
              <w:jc w:val="left"/>
            </w:pPr>
            <w:r>
              <w:t xml:space="preserve">Road Freight</w:t>
            </w:r>
          </w:p>
        </w:tc>
        <w:tc>
          <w:tcPr/>
          <w:p>
            <w:pPr>
              <w:pStyle w:val="Compact"/>
              <w:jc w:val="left"/>
            </w:pPr>
            <w:r>
              <w:t xml:space="preserve">Local Distribution</w:t>
            </w:r>
          </w:p>
        </w:tc>
        <w:tc>
          <w:tcPr/>
          <w:p>
            <w:pPr>
              <w:pStyle w:val="Compact"/>
              <w:jc w:val="left"/>
            </w:pPr>
            <w:r>
              <w:t xml:space="preserve">Customer</w:t>
            </w:r>
          </w:p>
        </w:tc>
        <w:tc>
          <w:tcPr/>
          <w:p>
            <w:pPr>
              <w:pStyle w:val="Compact"/>
              <w:jc w:val="left"/>
            </w:pPr>
            <w:r>
              <w:t xml:space="preserve">100</w:t>
            </w:r>
          </w:p>
        </w:tc>
        <w:tc>
          <w:tcPr/>
          <w:p>
            <w:pPr>
              <w:pStyle w:val="Compact"/>
              <w:jc w:val="left"/>
            </w:pPr>
            <w:r>
              <w:t xml:space="preserve">1.0</w:t>
            </w:r>
          </w:p>
        </w:tc>
        <w:tc>
          <w:tcPr/>
          <w:p>
            <w:pPr>
              <w:pStyle w:val="Compact"/>
              <w:jc w:val="left"/>
            </w:pPr>
            <w:r>
              <w:t xml:space="preserve">0.069</w:t>
            </w:r>
          </w:p>
        </w:tc>
        <w:tc>
          <w:tcPr/>
          <w:p>
            <w:pPr>
              <w:pStyle w:val="Compact"/>
              <w:jc w:val="left"/>
            </w:pPr>
            <w:r>
              <w:t xml:space="preserve">0.007</w:t>
            </w:r>
          </w:p>
        </w:tc>
      </w:tr>
      <w:tr>
        <w:tc>
          <w:tcPr>
            <w:gridSpan w:val="7"/>
          </w:tcPr>
          <w:p>
            <w:pPr>
              <w:pStyle w:val="Compact"/>
              <w:jc w:val="left"/>
            </w:pPr>
            <w:r>
              <w:rPr>
                <w:bCs/>
                <w:b/>
              </w:rPr>
              <w:t xml:space="preserve">Total Transport Carbon Footprint (Illustrative)</w:t>
            </w:r>
          </w:p>
        </w:tc>
        <w:tc>
          <w:tcPr/>
          <w:p>
            <w:pPr>
              <w:pStyle w:val="Compact"/>
              <w:jc w:val="left"/>
            </w:pPr>
            <w:r>
              <w:rPr>
                <w:bCs/>
                <w:b/>
              </w:rPr>
              <w:t xml:space="preserve">0.407 kg CO2e</w:t>
            </w:r>
          </w:p>
        </w:tc>
      </w:tr>
    </w:tbl>
    <w:p>
      <w:pPr>
        <w:pStyle w:val="BodyText"/>
      </w:pPr>
      <w:r>
        <w:rPr>
          <w:iCs/>
          <w:i/>
        </w:rPr>
        <w:t xml:space="preserve">Note: Product weight assumed as 1.0 kg for transport calculations. Emission factors for ocean freight (0.016142 kgCO2e/tonne-km) and road freight (0.069 kgCO2e/tonne-km) are used as illustrative values based on industry averages.</w:t>
      </w:r>
    </w:p>
    <w:bookmarkEnd w:id="31"/>
    <w:bookmarkStart w:id="32" w:name="use-phase-scope-3---downstream"/>
    <w:p>
      <w:pPr>
        <w:pStyle w:val="Heading3"/>
      </w:pPr>
      <w:r>
        <w:t xml:space="preserve">2.4. Use Phase (Scope 3 - Downstream)</w:t>
      </w:r>
    </w:p>
    <w:p>
      <w:pPr>
        <w:pStyle w:val="FirstParagraph"/>
      </w:pPr>
      <w:r>
        <w:t xml:space="preserve">The emissions during the product\'s use phase are calculated based on its lifespan and energy consumption.</w:t>
      </w:r>
    </w:p>
    <w:p>
      <w:pPr>
        <w:numPr>
          <w:ilvl w:val="0"/>
          <w:numId w:val="1007"/>
        </w:numPr>
        <w:pStyle w:val="Compact"/>
      </w:pPr>
      <w:r>
        <w:rPr>
          <w:bCs/>
          <w:b/>
        </w:rPr>
        <w:t xml:space="preserve">Product Lifespan:</w:t>
      </w:r>
      <w:r>
        <w:t xml:space="preserve"> </w:t>
      </w:r>
      <w:r>
        <w:t xml:space="preserve">wizhtjkjqd (Illustrative: 5 years)</w:t>
      </w:r>
    </w:p>
    <w:p>
      <w:pPr>
        <w:numPr>
          <w:ilvl w:val="0"/>
          <w:numId w:val="1007"/>
        </w:numPr>
        <w:pStyle w:val="Compact"/>
      </w:pPr>
      <w:r>
        <w:rPr>
          <w:bCs/>
          <w:b/>
        </w:rPr>
        <w:t xml:space="preserve">Energy Consumption in Use:</w:t>
      </w:r>
      <w:r>
        <w:t xml:space="preserve"> </w:t>
      </w:r>
      <w:r>
        <w:t xml:space="preserve">ursdivjguh (Illustrative: 20 kWh/year)</w:t>
      </w:r>
    </w:p>
    <w:p>
      <w:pPr>
        <w:pStyle w:val="FirstParagraph"/>
      </w:pPr>
      <w:r>
        <w:t xml:space="preserve">Assuming the product is used by consumers, an average electricity grid mix for global consumer use might be considered. For illustrative purposes, we will use a generic average electricity emission factor (e.g., 0.5 kgCO2e/kWh to represent a global mix, as China-specific may not be representative of global use).</w:t>
      </w:r>
    </w:p>
    <w:p>
      <w:pPr>
        <w:pStyle w:val="BodyText"/>
      </w:pPr>
      <w:r>
        <w:rPr>
          <w:bCs/>
          <w:b/>
        </w:rPr>
        <w:t xml:space="preserve">Use Phase Emissions (Illustrative):</w:t>
      </w:r>
    </w:p>
    <w:p>
      <w:pPr>
        <w:pStyle w:val="BodyText"/>
      </w:pPr>
      <w:r>
        <w:t xml:space="preserve">20 kWh/year × 5 years × 0.5 kgCO2e/kWh =</w:t>
      </w:r>
      <w:r>
        <w:t xml:space="preserve"> </w:t>
      </w:r>
      <w:r>
        <w:rPr>
          <w:bCs/>
          <w:b/>
        </w:rPr>
        <w:t xml:space="preserve">50.0 kg CO2e/unit</w:t>
      </w:r>
    </w:p>
    <w:p>
      <w:pPr>
        <w:pStyle w:val="BodyText"/>
      </w:pPr>
      <w:r>
        <w:rPr>
          <w:iCs/>
          <w:i/>
        </w:rPr>
        <w:t xml:space="preserve">Note: The "Energy Consumption in Use" and "Product Lifespan" are illustrative values. Actual consumption could vary significantly based on user behavior and regional electricity mixes.</w:t>
      </w:r>
    </w:p>
    <w:bookmarkEnd w:id="32"/>
    <w:bookmarkStart w:id="33" w:name="X2449e76f36fce2c9fec3c701a472f020b80894d"/>
    <w:p>
      <w:pPr>
        <w:pStyle w:val="Heading3"/>
      </w:pPr>
      <w:r>
        <w:t xml:space="preserve">2.5. End-of-Life (EoL) Scenarios (Scope 3 - Downstream)</w:t>
      </w:r>
    </w:p>
    <w:p>
      <w:pPr>
        <w:pStyle w:val="FirstParagraph"/>
      </w:pPr>
      <w:r>
        <w:t xml:space="preserve">The end-of-life impacts reflect the circularity of the product and its disposal methods.</w:t>
      </w:r>
    </w:p>
    <w:p>
      <w:pPr>
        <w:numPr>
          <w:ilvl w:val="0"/>
          <w:numId w:val="1008"/>
        </w:numPr>
        <w:pStyle w:val="Compact"/>
      </w:pPr>
      <w:r>
        <w:rPr>
          <w:bCs/>
          <w:b/>
        </w:rPr>
        <w:t xml:space="preserve">Recyclability Percentage:</w:t>
      </w:r>
      <w:r>
        <w:t xml:space="preserve"> </w:t>
      </w:r>
      <w:r>
        <w:t xml:space="preserve">gpprejedni (Illustrative: 70%)</w:t>
      </w:r>
    </w:p>
    <w:p>
      <w:pPr>
        <w:numPr>
          <w:ilvl w:val="0"/>
          <w:numId w:val="1008"/>
        </w:numPr>
        <w:pStyle w:val="Compact"/>
      </w:pPr>
      <w:r>
        <w:rPr>
          <w:bCs/>
          <w:b/>
        </w:rPr>
        <w:t xml:space="preserve">Circular/Take-back Programs:</w:t>
      </w:r>
      <w:r>
        <w:t xml:space="preserve"> </w:t>
      </w:r>
      <w:r>
        <w:t xml:space="preserve">uuhorggikh (Illustrative: Program in place, contributing to recyclability)</w:t>
      </w:r>
    </w:p>
    <w:p>
      <w:pPr>
        <w:pStyle w:val="FirstParagraph"/>
      </w:pPr>
      <w:r>
        <w:t xml:space="preserve">For EoL emissions, we consider the emissions from recycling processes and the emissions from non-recycled waste (landfill/incineration). The impact of recycling is often calculated as avoided emissions from virgin material production. For illustrative purposes, we assume a total product weight of 1.0 kg at EoL.</w:t>
      </w:r>
    </w:p>
    <w:p>
      <w:pPr>
        <w:pStyle w:val="BodyText"/>
      </w:pPr>
      <w:r>
        <w:rPr>
          <w:bCs/>
          <w:b/>
        </w:rPr>
        <w:t xml:space="preserve">Illustrative EoL Emission Factors:</w:t>
      </w:r>
    </w:p>
    <w:p>
      <w:pPr>
        <w:numPr>
          <w:ilvl w:val="0"/>
          <w:numId w:val="1009"/>
        </w:numPr>
        <w:pStyle w:val="Compact"/>
      </w:pPr>
      <w:r>
        <w:t xml:space="preserve">Emissions from Recycling Process: 0.20 kg CO2e/kg (illustrative, for processing recycled plastic)</w:t>
      </w:r>
    </w:p>
    <w:p>
      <w:pPr>
        <w:numPr>
          <w:ilvl w:val="0"/>
          <w:numId w:val="1009"/>
        </w:numPr>
        <w:pStyle w:val="Compact"/>
      </w:pPr>
      <w:r>
        <w:t xml:space="preserve">Avoided Emissions from Virgin Material (e.g., for metals/plastics, roughly 50-95% reduction compared to virgin production, here we use a net benefit approach for simplification): -1.50 kg CO2e/kg (illustrative net benefit for recycled material vs. virgin)</w:t>
      </w:r>
    </w:p>
    <w:p>
      <w:pPr>
        <w:numPr>
          <w:ilvl w:val="0"/>
          <w:numId w:val="1009"/>
        </w:numPr>
        <w:pStyle w:val="Compact"/>
      </w:pPr>
      <w:r>
        <w:t xml:space="preserve">Emissions from Landfill/Incineration: 1.00 kg CO2e/kg (illustrative average for mixed waste)</w:t>
      </w:r>
    </w:p>
    <w:p>
      <w:pPr>
        <w:pStyle w:val="FirstParagraph"/>
      </w:pPr>
      <w:r>
        <w:rPr>
          <w:bCs/>
          <w:b/>
        </w:rPr>
        <w:t xml:space="preserve">EoL Calculation (Illustrative):</w:t>
      </w:r>
    </w:p>
    <w:p>
      <w:pPr>
        <w:pStyle w:val="BodyText"/>
      </w:pPr>
      <w:r>
        <w:t xml:space="preserve">Recycled Portion (70%): 1.0 kg × 0.70 × (-1.50 kg CO2e/kg) = -1.05 kg CO2e (net benefit)</w:t>
      </w:r>
    </w:p>
    <w:p>
      <w:pPr>
        <w:pStyle w:val="BodyText"/>
      </w:pPr>
      <w:r>
        <w:t xml:space="preserve">Non-Recycled Portion (30%): 1.0 kg × 0.30 × 1.00 kg CO2e/kg = 0.30 kg CO2e</w:t>
      </w:r>
    </w:p>
    <w:p>
      <w:pPr>
        <w:pStyle w:val="BodyText"/>
      </w:pPr>
      <w:r>
        <w:rPr>
          <w:bCs/>
          <w:b/>
        </w:rPr>
        <w:t xml:space="preserve">Total End-of-Life Carbon Footprint (Illustrative): -0.75 kg CO2e</w:t>
      </w:r>
    </w:p>
    <w:p>
      <w:pPr>
        <w:pStyle w:val="BodyText"/>
      </w:pPr>
      <w:r>
        <w:rPr>
          <w:iCs/>
          <w:i/>
        </w:rPr>
        <w:t xml:space="preserve">Note: The negative value signifies a net carbon benefit due to the high recyclability and assumed displacement of virgin material production, aligned with circular economy principles supported by `uuhorggikh` programs. Actual values depend on material-specific recycling efficiency and displacement rates.</w:t>
      </w:r>
    </w:p>
    <w:bookmarkEnd w:id="33"/>
    <w:bookmarkEnd w:id="34"/>
    <w:p>
      <w:r>
        <w:pict>
          <v:rect style="width:0;height:1.5pt" o:hralign="center" o:hrstd="t" o:hr="t"/>
        </w:pict>
      </w:r>
    </w:p>
    <w:bookmarkStart w:id="39" w:name="calculate-emissions"/>
    <w:p>
      <w:pPr>
        <w:pStyle w:val="Heading2"/>
      </w:pPr>
      <w:r>
        <w:t xml:space="preserve">4. Calculate Emissions</w:t>
      </w:r>
    </w:p>
    <w:p>
      <w:pPr>
        <w:pStyle w:val="FirstParagraph"/>
      </w:pPr>
      <w:r>
        <w:t xml:space="preserve">The total Product Carbon Footprint (PCF) for xxgninzirz is calculated by summing the emissions across all life cycle stages, categorized according to the GHG Protocol Scopes. This calculation uses the illustrative data and emission factors detailed in the previous section.</w:t>
      </w:r>
    </w:p>
    <w:bookmarkStart w:id="35" w:name="ghg-protocol-scopes-breakdown"/>
    <w:p>
      <w:pPr>
        <w:pStyle w:val="Heading3"/>
      </w:pPr>
      <w:r>
        <w:t xml:space="preserve">4.1. GHG Protocol Scopes Breakdown</w:t>
      </w:r>
    </w:p>
    <w:p>
      <w:pPr>
        <w:pStyle w:val="FirstParagraph"/>
      </w:pPr>
      <w:r>
        <w:t xml:space="preserve">The GHG Protocol categorizes emissions into three scopes:</w:t>
      </w:r>
    </w:p>
    <w:p>
      <w:pPr>
        <w:numPr>
          <w:ilvl w:val="0"/>
          <w:numId w:val="1010"/>
        </w:numPr>
        <w:pStyle w:val="Compact"/>
      </w:pPr>
      <w:r>
        <w:rPr>
          <w:bCs/>
          <w:b/>
        </w:rPr>
        <w:t xml:space="preserve">Scope 1: Direct Emissions</w:t>
      </w:r>
      <w:r>
        <w:t xml:space="preserve"> </w:t>
      </w:r>
      <w:r>
        <w:t xml:space="preserve">from sources owned or controlled by grjpnkkhln.</w:t>
      </w:r>
    </w:p>
    <w:p>
      <w:pPr>
        <w:numPr>
          <w:ilvl w:val="0"/>
          <w:numId w:val="1010"/>
        </w:numPr>
        <w:pStyle w:val="Compact"/>
      </w:pPr>
      <w:r>
        <w:rPr>
          <w:bCs/>
          <w:b/>
        </w:rPr>
        <w:t xml:space="preserve">Scope 2: Indirect Emissions</w:t>
      </w:r>
      <w:r>
        <w:t xml:space="preserve"> </w:t>
      </w:r>
      <w:r>
        <w:t xml:space="preserve">from the generation of purchased electricity, heat, or steam consumed by grjpnkkhln.</w:t>
      </w:r>
    </w:p>
    <w:p>
      <w:pPr>
        <w:numPr>
          <w:ilvl w:val="0"/>
          <w:numId w:val="1010"/>
        </w:numPr>
        <w:pStyle w:val="Compact"/>
      </w:pPr>
      <w:r>
        <w:rPr>
          <w:bCs/>
          <w:b/>
        </w:rPr>
        <w:t xml:space="preserve">Scope 3: Other Indirect Emissions</w:t>
      </w:r>
      <w:r>
        <w:t xml:space="preserve"> </w:t>
      </w:r>
      <w:r>
        <w:t xml:space="preserve">from the value chain, both upstream and downstream.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6.45</w:t>
            </w:r>
          </w:p>
        </w:tc>
      </w:tr>
      <w:tr>
        <w:tc>
          <w:tcPr/>
          <w:p>
            <w:pPr>
              <w:pStyle w:val="Compact"/>
              <w:jc w:val="left"/>
            </w:pPr>
            <w:r>
              <w:rPr>
                <w:bCs/>
                <w:b/>
              </w:rPr>
              <w:t xml:space="preserve">Manufacturing - Energy (Electricity)</w:t>
            </w:r>
          </w:p>
        </w:tc>
        <w:tc>
          <w:tcPr/>
          <w:p>
            <w:pPr>
              <w:pStyle w:val="Compact"/>
              <w:jc w:val="left"/>
            </w:pPr>
            <w:r>
              <w:t xml:space="preserve">Scope 2</w:t>
            </w:r>
          </w:p>
        </w:tc>
        <w:tc>
          <w:tcPr/>
          <w:p>
            <w:pPr>
              <w:pStyle w:val="Compact"/>
              <w:jc w:val="left"/>
            </w:pPr>
            <w:r>
              <w:t xml:space="preserve">1.55</w:t>
            </w:r>
          </w:p>
        </w:tc>
      </w:tr>
      <w:tr>
        <w:tc>
          <w:tcPr/>
          <w:p>
            <w:pPr>
              <w:pStyle w:val="Compact"/>
              <w:jc w:val="left"/>
            </w:pPr>
            <w:r>
              <w:rPr>
                <w:bCs/>
                <w:b/>
              </w:rPr>
              <w:t xml:space="preserve">Manufacturing - Direct Emissions (e.g., on-site fuel)</w:t>
            </w:r>
          </w:p>
        </w:tc>
        <w:tc>
          <w:tcPr/>
          <w:p>
            <w:pPr>
              <w:pStyle w:val="Compact"/>
              <w:jc w:val="left"/>
            </w:pPr>
            <w:r>
              <w:t xml:space="preserve">Scope 1</w:t>
            </w:r>
          </w:p>
        </w:tc>
        <w:tc>
          <w:tcPr/>
          <w:p>
            <w:pPr>
              <w:pStyle w:val="Compact"/>
              <w:jc w:val="left"/>
            </w:pPr>
            <w:r>
              <w:t xml:space="preserve">0.00 (Assumed negligible for product focus)</w:t>
            </w:r>
          </w:p>
        </w:tc>
      </w:tr>
      <w:tr>
        <w:tc>
          <w:tcPr/>
          <w:p>
            <w:pPr>
              <w:pStyle w:val="Compact"/>
              <w:jc w:val="left"/>
            </w:pPr>
            <w:r>
              <w:rPr>
                <w:bCs/>
                <w:b/>
              </w:rPr>
              <w:t xml:space="preserve">Transport - Upstream (Materials)</w:t>
            </w:r>
          </w:p>
        </w:tc>
        <w:tc>
          <w:tcPr/>
          <w:p>
            <w:pPr>
              <w:pStyle w:val="Compact"/>
              <w:jc w:val="left"/>
            </w:pPr>
            <w:r>
              <w:t xml:space="preserve">Scope 3 (Upstream)</w:t>
            </w:r>
          </w:p>
        </w:tc>
        <w:tc>
          <w:tcPr/>
          <w:p>
            <w:pPr>
              <w:pStyle w:val="Compact"/>
              <w:jc w:val="left"/>
            </w:pPr>
            <w:r>
              <w:t xml:space="preserve">0.37</w:t>
            </w:r>
          </w:p>
        </w:tc>
      </w:tr>
      <w:tr>
        <w:tc>
          <w:tcPr/>
          <w:p>
            <w:pPr>
              <w:pStyle w:val="Compact"/>
              <w:jc w:val="left"/>
            </w:pPr>
            <w:r>
              <w:rPr>
                <w:bCs/>
                <w:b/>
              </w:rPr>
              <w:t xml:space="preserve">Transport - Downstream (Product)</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50.00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-0.75</w:t>
            </w:r>
          </w:p>
        </w:tc>
      </w:tr>
    </w:tbl>
    <w:bookmarkEnd w:id="35"/>
    <w:bookmarkStart w:id="36" w:name="X9b435f9006cf04294f943c0bc3e88ac8be6bd1a"/>
    <w:p>
      <w:pPr>
        <w:pStyle w:val="Heading3"/>
      </w:pPr>
      <w:r>
        <w:t xml:space="preserve">4.2. Total Product Carbon Footprint (Illustrative)</w:t>
      </w:r>
    </w:p>
    <w:p>
      <w:pPr>
        <w:pStyle w:val="FirstParagraph"/>
      </w:pPr>
      <w:r>
        <w:t xml:space="preserve">Summing the emissions from all stages:</w:t>
      </w:r>
    </w:p>
    <w:p>
      <w:pPr>
        <w:pStyle w:val="BodyText"/>
      </w:pPr>
      <w:r>
        <w:t xml:space="preserve">Total PCF = 6.45 (Materials) + 1.55 (Manufacturing Energy) + 0.00 (Direct Mfg) + 0.37 (Upstream Transport) + 0.04 (Downstream Transport) + 50.00 (Use Phase) - 0.75 (EoL)</w:t>
      </w:r>
    </w:p>
    <w:p>
      <w:pPr>
        <w:pStyle w:val="BodyText"/>
      </w:pPr>
      <w:r>
        <w:rPr>
          <w:bCs/>
          <w:b/>
        </w:rPr>
        <w:t xml:space="preserve">Total PCF for xxgninzirz = 57.66 kg CO2e/unit</w:t>
      </w:r>
    </w:p>
    <w:bookmarkEnd w:id="36"/>
    <w:bookmarkStart w:id="37" w:name="land-sector-and-removals-lsr-update"/>
    <w:p>
      <w:pPr>
        <w:pStyle w:val="Heading3"/>
      </w:pPr>
      <w:r>
        <w:t xml:space="preserve">4.3. 2026 Land Sector and Removals (LSR) Update</w:t>
      </w:r>
    </w:p>
    <w:p>
      <w:pPr>
        <w:pStyle w:val="FirstParagraph"/>
      </w:pPr>
      <w:r>
        <w:t xml:space="preserve">The GHG Protocol\'s 2026 LSR Standard is designed to provide comprehensive accounting for land-based emissions and CO2 removals. For xxgninzirz, if any raw materials were bio-based (e.g., wood, cotton, bioplastics from agricultural feedstock) or involved significant land-use change in their production (e.g., palm oil derivatives), the LSR Standard would require detailed quantification of associated biogenic carbon emissions and potential removals. Given the illustrative BOM focuses on traditional industrial materials (metals, plastics, electronics), direct application of LSR has been conceptually acknowledged but not numerically calculated due to the lack of specific bio-based inputs. Future iterations with a detailed primary BOM should rigorously apply this standard to relevant inputs. The Standard also covers technological CO2 removals, which are not directly applicable to the product\'s current lifecycle beyond the assumed avoided emissions in the EoL recycling loop.</w:t>
      </w:r>
    </w:p>
    <w:bookmarkEnd w:id="37"/>
    <w:bookmarkStart w:id="38" w:name="scope-3-compliance-95-coverage"/>
    <w:p>
      <w:pPr>
        <w:pStyle w:val="Heading3"/>
      </w:pPr>
      <w:r>
        <w:t xml:space="preserve">4.4. Scope 3 Compliance (95% Coverage)</w:t>
      </w:r>
    </w:p>
    <w:p>
      <w:pPr>
        <w:pStyle w:val="FirstParagraph"/>
      </w:pPr>
      <w:r>
        <w:t xml:space="preserve">The analysis includes significant Scope 3 categories: raw materials, upstream and downstream transportation, the product\'s use phase, and end-of-life treatment. These categories typically represent the majority of a product\'s value chain emissions. With the comprehensive inclusion of these elements, this analysis aims to ensure at least 95% coverage for Scope 3 reporting, in line with 2026 requirements. Detailed breakdown and supplier engagement would further validate this coverage in a non-illustrative scenario.</w:t>
      </w:r>
    </w:p>
    <w:bookmarkEnd w:id="38"/>
    <w:bookmarkEnd w:id="39"/>
    <w:p>
      <w:r>
        <w:pict>
          <v:rect style="width:0;height:1.5pt" o:hralign="center" o:hrstd="t" o:hr="t"/>
        </w:pict>
      </w:r>
    </w:p>
    <w:bookmarkStart w:id="42" w:name="review-report"/>
    <w:p>
      <w:pPr>
        <w:pStyle w:val="Heading2"/>
      </w:pPr>
      <w:r>
        <w:t xml:space="preserve">5. Review &amp; Report</w:t>
      </w:r>
    </w:p>
    <w:p>
      <w:pPr>
        <w:pStyle w:val="FirstParagraph"/>
      </w:pPr>
      <w:r>
        <w:t xml:space="preserve">This final section summarizes the key findings, identifies emission hotspots, and comments on the reliability of the analysis.</w:t>
      </w:r>
    </w:p>
    <w:bookmarkStart w:id="40" w:name="emission-hotspots"/>
    <w:p>
      <w:pPr>
        <w:pStyle w:val="Heading3"/>
      </w:pPr>
      <w:r>
        <w:t xml:space="preserve">5.1. Emission Hotspots</w:t>
      </w:r>
    </w:p>
    <w:p>
      <w:pPr>
        <w:pStyle w:val="FirstParagraph"/>
      </w:pPr>
      <w:r>
        <w:t xml:space="preserve">Based on the illustrative calculations, the major emission hotspots for xxgninzirz are:</w:t>
      </w:r>
    </w:p>
    <w:p>
      <w:pPr>
        <w:numPr>
          <w:ilvl w:val="0"/>
          <w:numId w:val="1011"/>
        </w:numPr>
        <w:pStyle w:val="Compact"/>
      </w:pPr>
      <w:r>
        <w:rPr>
          <w:bCs/>
          <w:b/>
        </w:rPr>
        <w:t xml:space="preserve">Use Phase (50.00 kg CO2e):</w:t>
      </w:r>
      <w:r>
        <w:t xml:space="preserve"> </w:t>
      </w:r>
      <w:r>
        <w:t xml:space="preserve">This is by far the largest contributor, primarily driven by the product\'s energy consumption over its assumed 5-year lifespan. This highlights the critical importance of energy efficiency during product design and consumer energy choices.</w:t>
      </w:r>
    </w:p>
    <w:p>
      <w:pPr>
        <w:numPr>
          <w:ilvl w:val="0"/>
          <w:numId w:val="1011"/>
        </w:numPr>
        <w:pStyle w:val="Compact"/>
      </w:pPr>
      <w:r>
        <w:rPr>
          <w:bCs/>
          <w:b/>
        </w:rPr>
        <w:t xml:space="preserve">Materials Acquisition &amp; Pre-processing (6.45 kg CO2e):</w:t>
      </w:r>
      <w:r>
        <w:t xml:space="preserve"> </w:t>
      </w:r>
      <w:r>
        <w:t xml:space="preserve">Upstream material production, particularly for energy-intensive materials like aluminum and specialty chemicals in plastics and electronics, represents the second-largest impact.</w:t>
      </w:r>
    </w:p>
    <w:p>
      <w:pPr>
        <w:numPr>
          <w:ilvl w:val="0"/>
          <w:numId w:val="1011"/>
        </w:numPr>
        <w:pStyle w:val="Compact"/>
      </w:pPr>
      <w:r>
        <w:rPr>
          <w:bCs/>
          <w:b/>
        </w:rPr>
        <w:t xml:space="preserve">Manufacturing Energy (1.55 kg CO2e):</w:t>
      </w:r>
      <w:r>
        <w:t xml:space="preserve"> </w:t>
      </w:r>
      <w:r>
        <w:t xml:space="preserve">While significant, the impact here is mitigated by the illustrative 50% renewable energy procurement. Further decarbonization of the energy mix or increased energy efficiency at the factory could reduce this.</w:t>
      </w:r>
    </w:p>
    <w:p>
      <w:pPr>
        <w:pStyle w:val="FirstParagraph"/>
      </w:pPr>
      <w:r>
        <w:t xml:space="preserve">Areas such as transportation and End-of-Life (due to the assumed net benefit from recycling) contribute less significantly in this illustrative scenario, though they remain important for a holistic view.</w:t>
      </w:r>
    </w:p>
    <w:bookmarkEnd w:id="40"/>
    <w:bookmarkStart w:id="41" w:name="reliability-and-limitations"/>
    <w:p>
      <w:pPr>
        <w:pStyle w:val="Heading3"/>
      </w:pPr>
      <w:r>
        <w:t xml:space="preserve">5.2. Reliability and Limitations</w:t>
      </w:r>
    </w:p>
    <w:p>
      <w:pPr>
        <w:pStyle w:val="FirstParagraph"/>
      </w:pPr>
      <w:r>
        <w:t xml:space="preserve">The reliability of this report is directly tied to the data inputs:</w:t>
      </w:r>
    </w:p>
    <w:p>
      <w:pPr>
        <w:numPr>
          <w:ilvl w:val="0"/>
          <w:numId w:val="1012"/>
        </w:numPr>
        <w:pStyle w:val="Compact"/>
      </w:pPr>
      <w:r>
        <w:rPr>
          <w:bCs/>
          <w:b/>
        </w:rPr>
        <w:t xml:space="preserve">Illustrative Data:</w:t>
      </w:r>
      <w:r>
        <w:t xml:space="preserve"> </w:t>
      </w:r>
      <w:r>
        <w:t xml:space="preserve">A significant limitation is the use of illustrative data for the Bill of Materials, transport distances, energy consumption, and end-of-life parameters. While these values were chosen to be plausible, they are not primary data from grjpnkkhln\'s actual supply chain or operations.</w:t>
      </w:r>
    </w:p>
    <w:p>
      <w:pPr>
        <w:numPr>
          <w:ilvl w:val="0"/>
          <w:numId w:val="1012"/>
        </w:numPr>
        <w:pStyle w:val="Compact"/>
      </w:pPr>
      <w:r>
        <w:rPr>
          <w:bCs/>
          <w:b/>
        </w:rPr>
        <w:t xml:space="preserve">Emission Factors:</w:t>
      </w:r>
      <w:r>
        <w:t xml:space="preserve"> </w:t>
      </w:r>
      <w:r>
        <w:t xml:space="preserve">Generic, illustrative emission factors from industry averages (aligned with Ecoinvent/DEFRA principles) were applied due to the absence of specific primary data. In a definitive PCF, highly specific and localized emission factors are preferred.</w:t>
      </w:r>
    </w:p>
    <w:p>
      <w:pPr>
        <w:numPr>
          <w:ilvl w:val="0"/>
          <w:numId w:val="1012"/>
        </w:numPr>
        <w:pStyle w:val="Compact"/>
      </w:pPr>
      <w:r>
        <w:rPr>
          <w:bCs/>
          <w:b/>
        </w:rPr>
        <w:t xml:space="preserve">Scope 1 Assumptions:</w:t>
      </w:r>
      <w:r>
        <w:t xml:space="preserve"> </w:t>
      </w:r>
      <w:r>
        <w:t xml:space="preserve">Direct emissions (Scope 1) from manufacturing were assumed to be negligible for product-specific accounting in this context. Actual Scope 1 emissions, if substantial, would need to be integrated.</w:t>
      </w:r>
    </w:p>
    <w:p>
      <w:pPr>
        <w:pStyle w:val="FirstParagraph"/>
      </w:pPr>
      <w:r>
        <w:t xml:space="preserve">For enhanced accuracy and robustness, grjpnkkhln should prioritize the collection of primary data for all life cycle stages, especially for materials, manufacturing energy, transport, and real-world use-phase energy consumption and end-of-life outcomes. Engagement with suppliers for cradle-to-gate PCF data for purchased components would significantly improve upstream accuracy. The framework applied in this report provides a solid foundation for such future, data-intensive analyses.</w:t>
      </w:r>
    </w:p>
    <w:bookmarkEnd w:id="41"/>
    <w:bookmarkEnd w:id="4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xxgninzirz</dc:title>
  <dc:creator/>
  <dc:description>High-detail Product Carbon Footprint (PCF) analysis report for product xxgninzirz, conducted by Senior Sustainability Consultant qikoigwzrw for company grjpnkkhln, adhering to GHG Protocol and 2026 LSR update.</dc:description>
  <dc:language>en</dc:language>
  <cp:keywords/>
  <dcterms:created xsi:type="dcterms:W3CDTF">2026-05-30T16:56:51Z</dcterms:created>
  <dcterms:modified xsi:type="dcterms:W3CDTF">2026-05-30T16:56:51Z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