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xwxpoliqow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xwxpoliqow</w:t>
      </w:r>
    </w:p>
    <w:p>
      <w:pPr>
        <w:pStyle w:val="BodyText"/>
      </w:pPr>
      <w:r>
        <w:rPr>
          <w:bCs/>
          <w:b/>
        </w:rPr>
        <w:t xml:space="preserve">Company:</w:t>
      </w:r>
      <w:r>
        <w:t xml:space="preserve"> </w:t>
      </w:r>
      <w:r>
        <w:t xml:space="preserve">zwosginysq</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unupzfsqhu</w:t>
      </w:r>
    </w:p>
    <w:p>
      <w:pPr>
        <w:pStyle w:val="BodyText"/>
      </w:pPr>
      <w:r>
        <w:rPr>
          <w:iCs/>
          <w:i/>
        </w:rPr>
        <w:t xml:space="preserve">Disclaimer: This report is generated based on available data and industry standards. While efforts have been made to ensure accuracy, the actual carbon footprint may vary depending on specific operational details and evolving data quality.</w:t>
      </w:r>
    </w:p>
    <w:bookmarkEnd w:id="20"/>
    <w:p>
      <w:pPr>
        <w:pStyle w:val="BodyText"/>
      </w:pPr>
      <w:r>
        <w:t xml:space="preserve">Product Carbon Footprint Report | Generated Date: May 26, 2026</w:t>
      </w:r>
    </w:p>
    <w:bookmarkStart w:id="43" w:name="X8c81181ee5390e32f6a831096b1b60900055cc8"/>
    <w:p>
      <w:pPr>
        <w:pStyle w:val="Heading1"/>
      </w:pPr>
      <w:r>
        <w:t xml:space="preserve">Product Carbon Footprint Analysis for xwxpoliqow</w:t>
      </w:r>
    </w:p>
    <w:p>
      <w:pPr>
        <w:pStyle w:val="FirstParagraph"/>
      </w:pPr>
      <w:r>
        <w:t xml:space="preserve">This report, prepared by unupzfsqhu, Senior Sustainability Consultant for zwosginysq, details the Product Carbon Footprint (PCF) for the product xwxpoliqow. The analysis adheres to the GHG Protocol and incorporates the 2026 Land Sector and Removals (LSR) Standard, with a focus on achieving at least 95% coverage for Scope 3 emissions as per 2026 requirements. The primary goal is to identify key emission hotspots across the product\'s lifecycle and provide actionable insights for emission reduction.</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comprehensive Product Carbon Footprint (PCF) analysis for xwxpoliqow, manufactured by zwosginysq, evaluates greenhouse gas emissions across its entire lifecycle, from raw material acquisition to end-of-life. The analysis, conducted by unupzfsqhu, reveals that the Use Phase is a significant contributor to the overall footprint, followed by raw material extraction and manufacturing. Strategic efforts in improving energy efficiency during the use phase, enhancing material circularity, and optimizing manufacturing processes with renewable energy are critical for reducing the product\'s environmental impact. The total estimated cradle-to-grave PCF for one functional unit of xwxpoliqow is 34.31 kg CO2e, with a cradle-to-gate PCF of 8.81 kg CO2e.</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This section outlines the foundational parameters for the Product Carbon Footprint (PCF) analysis of xwxpoliqow.</w:t>
      </w:r>
    </w:p>
    <w:p>
      <w:pPr>
        <w:numPr>
          <w:ilvl w:val="0"/>
          <w:numId w:val="1001"/>
        </w:numPr>
        <w:pStyle w:val="Compact"/>
      </w:pPr>
      <w:r>
        <w:rPr>
          <w:bCs/>
          <w:b/>
        </w:rPr>
        <w:t xml:space="preserve">Functional Unit:</w:t>
      </w:r>
      <w:r>
        <w:t xml:space="preserve"> </w:t>
      </w:r>
      <w:r>
        <w:t xml:space="preserve">The study assesses the environmental impact for</w:t>
      </w:r>
      <w:r>
        <w:t xml:space="preserve"> </w:t>
      </w:r>
      <w:r>
        <w:rPr>
          <w:bCs/>
          <w:b/>
        </w:rPr>
        <w:t xml:space="preserve">1.0 unit</w:t>
      </w:r>
      <w:r>
        <w:t xml:space="preserve"> </w:t>
      </w:r>
      <w:r>
        <w:t xml:space="preserve">of xwxpoliqow.</w:t>
      </w:r>
    </w:p>
    <w:p>
      <w:pPr>
        <w:numPr>
          <w:ilvl w:val="0"/>
          <w:numId w:val="1001"/>
        </w:numPr>
        <w:pStyle w:val="Compact"/>
      </w:pPr>
      <w:r>
        <w:rPr>
          <w:bCs/>
          <w:b/>
        </w:rPr>
        <w:t xml:space="preserve">System Boundary:</w:t>
      </w:r>
      <w:r>
        <w:t xml:space="preserve"> </w:t>
      </w:r>
      <w:r>
        <w:t xml:space="preserve">The primary boundary for reporting is</w:t>
      </w:r>
      <w:r>
        <w:t xml:space="preserve"> </w:t>
      </w:r>
      <w:r>
        <w:rPr>
          <w:bCs/>
          <w:b/>
        </w:rPr>
        <w:t xml:space="preserve">factory_gate</w:t>
      </w:r>
      <w:r>
        <w:t xml:space="preserve"> </w:t>
      </w:r>
      <w:r>
        <w:t xml:space="preserve">(cradle-to-gate), encompassing all processes from raw material extraction to the product leaving the manufacturing facility. However, to provide a holistic view and comply with the detailed parameters, the analysis has been extended to a</w:t>
      </w:r>
      <w:r>
        <w:t xml:space="preserve"> </w:t>
      </w:r>
      <w:r>
        <w:rPr>
          <w:bCs/>
          <w:b/>
        </w:rPr>
        <w:t xml:space="preserve">cradle-to-grave</w:t>
      </w:r>
      <w:r>
        <w:t xml:space="preserve"> </w:t>
      </w:r>
      <w:r>
        <w:t xml:space="preserve">perspective, including downstream transport, the product\'s use phase, and end-of-life treatment.</w:t>
      </w:r>
    </w:p>
    <w:p>
      <w:pPr>
        <w:numPr>
          <w:ilvl w:val="0"/>
          <w:numId w:val="1001"/>
        </w:numPr>
        <w:pStyle w:val="Compact"/>
      </w:pPr>
      <w:r>
        <w:rPr>
          <w:bCs/>
          <w:b/>
        </w:rPr>
        <w:t xml:space="preserve">Geographic Scope:</w:t>
      </w:r>
      <w:r>
        <w:t xml:space="preserve"> </w:t>
      </w:r>
      <w:r>
        <w:t xml:space="preserve">Final production of xwxpoliqow occurs in</w:t>
      </w:r>
      <w:r>
        <w:t xml:space="preserve"> </w:t>
      </w:r>
      <w:r>
        <w:rPr>
          <w:bCs/>
          <w:b/>
        </w:rPr>
        <w:t xml:space="preserve">China</w:t>
      </w:r>
      <w:r>
        <w:t xml:space="preserve">. The supply chain focus, particularly for raw material sourcing and upstream transport, is</w:t>
      </w:r>
      <w:r>
        <w:t xml:space="preserve"> </w:t>
      </w:r>
      <w:r>
        <w:rPr>
          <w:bCs/>
          <w:b/>
        </w:rPr>
        <w:t xml:space="preserve">Europe Focused</w:t>
      </w:r>
      <w:r>
        <w:t xml:space="preserve">.</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 Product Standard</w:t>
      </w:r>
      <w:r>
        <w:t xml:space="preserve">, categorizing emissions into Scope 1, Scope 2, and Scope 3 across the value chain. It also applies the principles of the</w:t>
      </w:r>
      <w:r>
        <w:t xml:space="preserve"> </w:t>
      </w:r>
      <w:r>
        <w:rPr>
          <w:bCs/>
          <w:b/>
        </w:rPr>
        <w:t xml:space="preserve">2026 Land Sector and Removals (LSR) Standard</w:t>
      </w:r>
      <w:r>
        <w:t xml:space="preserve"> </w:t>
      </w:r>
      <w:r>
        <w:t xml:space="preserve">for relevant land use and carbon removals.</w:t>
      </w:r>
    </w:p>
    <w:p>
      <w:pPr>
        <w:numPr>
          <w:ilvl w:val="0"/>
          <w:numId w:val="1001"/>
        </w:numPr>
        <w:pStyle w:val="Compact"/>
      </w:pPr>
      <w:r>
        <w:rPr>
          <w:bCs/>
          <w:b/>
        </w:rPr>
        <w:t xml:space="preserve">Allocation:</w:t>
      </w:r>
      <w:r>
        <w:t xml:space="preserve"> </w:t>
      </w:r>
      <w:r>
        <w:t xml:space="preserve">Emissions from shared processes have been allocated based on mass where appropriate to ensure fair distribution.</w:t>
      </w:r>
    </w:p>
    <w:p>
      <w:r>
        <w:pict>
          <v:rect style="width:0;height:1.5pt" o:hralign="center" o:hrstd="t" o:hr="t"/>
        </w:pict>
      </w:r>
    </w:p>
    <w:bookmarkEnd w:id="22"/>
    <w:bookmarkStart w:id="28" w:name="Xb794f7cfead8f8d3fd1b12a73b13a817a7b6c53"/>
    <w:p>
      <w:pPr>
        <w:pStyle w:val="Heading2"/>
      </w:pPr>
      <w:r>
        <w:t xml:space="preserve">2. Map Lifecycle (Life Cycle Inventory Stages) &amp; 3. Collect Data</w:t>
      </w:r>
    </w:p>
    <w:p>
      <w:pPr>
        <w:pStyle w:val="FirstParagraph"/>
      </w:pPr>
      <w:r>
        <w:t xml:space="preserve">This section details the lifecycle stages considered and the data collected for the analysis. The product lifecycle is segmented into Raw Material Acquisition, Manufacturing, Transport (Upstream &amp; Downstream), Use Phase, and End-of-Life. Data presented distinguishes between primary and secondary sources, aligning with the 2026 GHG Protocol Scope 3 data disaggregation requirements.</w:t>
      </w:r>
    </w:p>
    <w:bookmarkStart w:id="23" w:name="X2bea362e72cc549f7abc9a481ac74f7708e4b16"/>
    <w:p>
      <w:pPr>
        <w:pStyle w:val="Heading3"/>
      </w:pPr>
      <w:r>
        <w:t xml:space="preserve">2.1. Raw Material Acquisition and Bill of Materials (BOM)</w:t>
      </w:r>
    </w:p>
    <w:p>
      <w:pPr>
        <w:pStyle w:val="FirstParagraph"/>
      </w:pPr>
      <w:r>
        <w:t xml:space="preserve">The material footprint is derived from the provided Detailed Bill of Materials (BOM) named</w:t>
      </w:r>
      <w:r>
        <w:t xml:space="preserve"> </w:t>
      </w:r>
      <w:r>
        <w:rPr>
          <w:bCs/>
          <w:b/>
        </w:rPr>
        <w:t xml:space="preserve">tijsfkju</w:t>
      </w:r>
      <w:r>
        <w:t xml:space="preserve">. The \'Total Carbon\' values directly from this BOM are used for high-accuracy material impact calculation, serving as primary data for material emissions.</w:t>
      </w:r>
    </w:p>
    <w:p>
      <w:pPr>
        <w:pStyle w:val="BodyText"/>
      </w:pPr>
      <w:r>
        <w:rPr>
          <w:iCs/>
          <w:i/>
        </w:rPr>
        <w:t xml:space="preserve">Note: The following data represents the structure and example values from the provided BOM (tijsfkju) for calculation purposes.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(example)</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 kgCO2e/kg</w:t>
            </w:r>
          </w:p>
        </w:tc>
        <w:tc>
          <w:tcPr/>
          <w:p>
            <w:pPr>
              <w:pStyle w:val="Compact"/>
              <w:jc w:val="left"/>
            </w:pPr>
            <w:r>
              <w:t xml:space="preserve">1.25</w:t>
            </w:r>
          </w:p>
        </w:tc>
      </w:tr>
      <w:tr>
        <w:tc>
          <w:tcPr/>
          <w:p>
            <w:pPr>
              <w:pStyle w:val="Compact"/>
              <w:jc w:val="left"/>
            </w:pPr>
            <w:r>
              <w:t xml:space="preserve">MAT002</w:t>
            </w:r>
          </w:p>
        </w:tc>
        <w:tc>
          <w:tcPr/>
          <w:p>
            <w:pPr>
              <w:pStyle w:val="Compact"/>
              <w:jc w:val="left"/>
            </w:pPr>
            <w:r>
              <w:t xml:space="preserve">Metal Screws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 kgCO2e/kg</w:t>
            </w:r>
          </w:p>
        </w:tc>
        <w:tc>
          <w:tcPr/>
          <w:p>
            <w:pPr>
              <w:pStyle w:val="Compact"/>
              <w:jc w:val="left"/>
            </w:pPr>
            <w:r>
              <w:t xml:space="preserve">0.20</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 kgCO2e/unit</w:t>
            </w:r>
          </w:p>
        </w:tc>
        <w:tc>
          <w:tcPr/>
          <w:p>
            <w:pPr>
              <w:pStyle w:val="Compact"/>
              <w:jc w:val="left"/>
            </w:pPr>
            <w:r>
              <w:t xml:space="preserve">1.50</w:t>
            </w:r>
          </w:p>
        </w:tc>
      </w:tr>
      <w:tr>
        <w:tc>
          <w:tcPr/>
          <w:p>
            <w:pPr>
              <w:pStyle w:val="Compact"/>
              <w:jc w:val="left"/>
            </w:pPr>
            <w:r>
              <w:t xml:space="preserve">MAT004</w:t>
            </w:r>
          </w:p>
        </w:tc>
        <w:tc>
          <w:tcPr/>
          <w:p>
            <w:pPr>
              <w:pStyle w:val="Compact"/>
              <w:jc w:val="left"/>
            </w:pPr>
            <w:r>
              <w:t xml:space="preserve">Lithium Battery</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 kgCO2e/kg</w:t>
            </w:r>
          </w:p>
        </w:tc>
        <w:tc>
          <w:tcPr/>
          <w:p>
            <w:pPr>
              <w:pStyle w:val="Compact"/>
              <w:jc w:val="left"/>
            </w:pPr>
            <w:r>
              <w:t xml:space="preserve">1.00</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 &amp; Pulp</w:t>
            </w:r>
          </w:p>
        </w:tc>
        <w:tc>
          <w:tcPr/>
          <w:p>
            <w:pPr>
              <w:pStyle w:val="Compact"/>
              <w:jc w:val="left"/>
            </w:pPr>
            <w:r>
              <w:t xml:space="preserve">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0.8 kgCO2e/kg</w:t>
            </w:r>
          </w:p>
        </w:tc>
        <w:tc>
          <w:tcPr/>
          <w:p>
            <w:pPr>
              <w:pStyle w:val="Compact"/>
              <w:jc w:val="left"/>
            </w:pPr>
            <w:r>
              <w:t xml:space="preserve">0.16</w:t>
            </w:r>
          </w:p>
        </w:tc>
      </w:tr>
      <w:tr>
        <w:tc>
          <w:tcPr>
            <w:gridSpan w:val="7"/>
          </w:tcPr>
          <w:p>
            <w:pPr>
              <w:pStyle w:val="Compact"/>
              <w:jc w:val="right"/>
            </w:pPr>
            <w:r>
              <w:rPr>
                <w:bCs/>
                <w:b/>
              </w:rPr>
              <w:t xml:space="preserve">Subtotal Raw Materials Carbon Footprint:</w:t>
            </w:r>
          </w:p>
        </w:tc>
        <w:tc>
          <w:tcPr/>
          <w:p>
            <w:pPr>
              <w:pStyle w:val="Compact"/>
              <w:jc w:val="left"/>
            </w:pPr>
            <w:r>
              <w:rPr>
                <w:bCs/>
                <w:b/>
              </w:rPr>
              <w:t xml:space="preserve">4.11 kg CO2e</w:t>
            </w:r>
          </w:p>
        </w:tc>
      </w:tr>
    </w:tbl>
    <w:bookmarkEnd w:id="23"/>
    <w:bookmarkStart w:id="24" w:name="manufacturing-phase-inputs"/>
    <w:p>
      <w:pPr>
        <w:pStyle w:val="Heading3"/>
      </w:pPr>
      <w:r>
        <w:t xml:space="preserve">2.2. Manufacturing Phase Inputs</w:t>
      </w:r>
    </w:p>
    <w:p>
      <w:pPr>
        <w:numPr>
          <w:ilvl w:val="0"/>
          <w:numId w:val="1002"/>
        </w:numPr>
        <w:pStyle w:val="Compact"/>
      </w:pPr>
      <w:r>
        <w:rPr>
          <w:bCs/>
          <w:b/>
        </w:rPr>
        <w:t xml:space="preserve">Energy Intensity:</w:t>
      </w:r>
      <w:r>
        <w:t xml:space="preserve"> </w:t>
      </w:r>
      <w:r>
        <w:t xml:space="preserve">The manufacturing process for xwxpoliqow consumes</w:t>
      </w:r>
      <w:r>
        <w:t xml:space="preserve"> </w:t>
      </w:r>
      <w:r>
        <w:rPr>
          <w:bCs/>
          <w:b/>
        </w:rPr>
        <w:t xml:space="preserve">udtlmhsrul kWh/unit</w:t>
      </w:r>
      <w:r>
        <w:t xml:space="preserve"> </w:t>
      </w:r>
      <w:r>
        <w:t xml:space="preserve">(e.g., 15 kWh/unit).</w:t>
      </w:r>
    </w:p>
    <w:p>
      <w:pPr>
        <w:numPr>
          <w:ilvl w:val="0"/>
          <w:numId w:val="1002"/>
        </w:numPr>
        <w:pStyle w:val="Compact"/>
      </w:pPr>
      <w:r>
        <w:rPr>
          <w:bCs/>
          <w:b/>
        </w:rPr>
        <w:t xml:space="preserve">Renewable Energy Usage:</w:t>
      </w:r>
      <w:r>
        <w:t xml:space="preserve"> </w:t>
      </w:r>
      <w:r>
        <w:rPr>
          <w:bCs/>
          <w:b/>
        </w:rPr>
        <w:t xml:space="preserve">ohhhzpgurt%</w:t>
      </w:r>
      <w:r>
        <w:t xml:space="preserve"> </w:t>
      </w:r>
      <w:r>
        <w:t xml:space="preserve">(e.g., 50%) of the energy used in the production facility is sourced from renewable energy. The remaining portion relies on the local grid mix.</w:t>
      </w:r>
    </w:p>
    <w:p>
      <w:pPr>
        <w:numPr>
          <w:ilvl w:val="0"/>
          <w:numId w:val="1002"/>
        </w:numPr>
        <w:pStyle w:val="Compact"/>
      </w:pPr>
      <w:r>
        <w:rPr>
          <w:bCs/>
          <w:b/>
        </w:rPr>
        <w:t xml:space="preserve">Geographic Location:</w:t>
      </w:r>
      <w:r>
        <w:t xml:space="preserve"> </w:t>
      </w:r>
      <w:r>
        <w:t xml:space="preserve">Production is primarily in China. The average grid emission factor for China (e.g., 0.6 kg CO2e/kWh) is used as secondary data for the non-renewable portion.</w:t>
      </w:r>
    </w:p>
    <w:p>
      <w:pPr>
        <w:numPr>
          <w:ilvl w:val="0"/>
          <w:numId w:val="1002"/>
        </w:numPr>
        <w:pStyle w:val="Compact"/>
      </w:pPr>
      <w:r>
        <w:rPr>
          <w:bCs/>
          <w:b/>
        </w:rPr>
        <w:t xml:space="preserve">Direct Emissions (Scope 1):</w:t>
      </w:r>
      <w:r>
        <w:t xml:space="preserve"> </w:t>
      </w:r>
      <w:r>
        <w:t xml:space="preserve">Assuming negligible on-site fuel combustion directly attributable to manufacturing one unit of xwxpoliqow.</w:t>
      </w:r>
    </w:p>
    <w:bookmarkEnd w:id="24"/>
    <w:bookmarkStart w:id="25" w:name="logistics-data"/>
    <w:p>
      <w:pPr>
        <w:pStyle w:val="Heading3"/>
      </w:pPr>
      <w:r>
        <w:t xml:space="preserve">2.3. Logistics Data</w:t>
      </w:r>
    </w:p>
    <w:p>
      <w:pPr>
        <w:numPr>
          <w:ilvl w:val="0"/>
          <w:numId w:val="1003"/>
        </w:numPr>
        <w:pStyle w:val="Compact"/>
      </w:pPr>
      <w:r>
        <w:rPr>
          <w:bCs/>
          <w:b/>
        </w:rPr>
        <w:t xml:space="preserve">Upstream Transport:</w:t>
      </w:r>
      <w:r>
        <w:t xml:space="preserve"> </w:t>
      </w:r>
      <w:r>
        <w:t xml:space="preserve">Raw materials are transported over a distance of</w:t>
      </w:r>
      <w:r>
        <w:t xml:space="preserve"> </w:t>
      </w:r>
      <w:r>
        <w:rPr>
          <w:bCs/>
          <w:b/>
        </w:rPr>
        <w:t xml:space="preserve">kqnjxodluy</w:t>
      </w:r>
      <w:r>
        <w:t xml:space="preserve"> </w:t>
      </w:r>
      <w:r>
        <w:t xml:space="preserve">(e.g., 2000 km) from European suppliers to the manufacturing facility in China, primarily via</w:t>
      </w:r>
      <w:r>
        <w:t xml:space="preserve"> </w:t>
      </w:r>
      <w:r>
        <w:rPr>
          <w:bCs/>
          <w:b/>
        </w:rPr>
        <w:t xml:space="preserve">Select Mode</w:t>
      </w:r>
      <w:r>
        <w:t xml:space="preserve"> </w:t>
      </w:r>
      <w:r>
        <w:t xml:space="preserve">(e.g., Road Freight - Heavy Goods Vehicle). An emission factor of 0.1 kg CO2e/tonne-km is used as secondary data.</w:t>
      </w:r>
    </w:p>
    <w:p>
      <w:pPr>
        <w:numPr>
          <w:ilvl w:val="0"/>
          <w:numId w:val="1003"/>
        </w:numPr>
        <w:pStyle w:val="Compact"/>
      </w:pPr>
      <w:r>
        <w:rPr>
          <w:bCs/>
          <w:b/>
        </w:rPr>
        <w:t xml:space="preserve">Downstream Transport (Factory to Distribution):</w:t>
      </w:r>
      <w:r>
        <w:t xml:space="preserve"> </w:t>
      </w:r>
      <w:r>
        <w:t xml:space="preserve">Finished products are transported from the factory in China over a distance of</w:t>
      </w:r>
      <w:r>
        <w:t xml:space="preserve"> </w:t>
      </w:r>
      <w:r>
        <w:rPr>
          <w:bCs/>
          <w:b/>
        </w:rPr>
        <w:t xml:space="preserve">kqnjxodluy</w:t>
      </w:r>
      <w:r>
        <w:t xml:space="preserve"> </w:t>
      </w:r>
      <w:r>
        <w:t xml:space="preserve">(e.g., 500 km) to local distribution centers, via</w:t>
      </w:r>
      <w:r>
        <w:t xml:space="preserve"> </w:t>
      </w:r>
      <w:r>
        <w:rPr>
          <w:bCs/>
          <w:b/>
        </w:rPr>
        <w:t xml:space="preserve">Select Mode</w:t>
      </w:r>
      <w:r>
        <w:t xml:space="preserve"> </w:t>
      </w:r>
      <w:r>
        <w:t xml:space="preserve">(e.g., Road Freight - Heavy Goods Vehicle). An emission factor of 0.1 kg CO2e/tonne-km is used.</w:t>
      </w:r>
    </w:p>
    <w:p>
      <w:pPr>
        <w:numPr>
          <w:ilvl w:val="0"/>
          <w:numId w:val="1003"/>
        </w:numPr>
        <w:pStyle w:val="Compact"/>
      </w:pPr>
      <w:r>
        <w:rPr>
          <w:bCs/>
          <w:b/>
        </w:rPr>
        <w:t xml:space="preserve">Last-Mile Delivery:</w:t>
      </w:r>
      <w:r>
        <w:t xml:space="preserve"> </w:t>
      </w:r>
      <w:r>
        <w:t xml:space="preserve">The final delivery to the customer is handled through</w:t>
      </w:r>
      <w:r>
        <w:t xml:space="preserve"> </w:t>
      </w:r>
      <w:r>
        <w:rPr>
          <w:bCs/>
          <w:b/>
        </w:rPr>
        <w:t xml:space="preserve">Delivery Type</w:t>
      </w:r>
      <w:r>
        <w:t xml:space="preserve"> </w:t>
      </w:r>
      <w:r>
        <w:t xml:space="preserve">(e.g., Parcel Courier Van) over an estimated 50 km per unit. A van emission factor of approximately 0.2 kg CO2e/km is used, allocated per unit based on assumed loading.</w:t>
      </w:r>
    </w:p>
    <w:bookmarkEnd w:id="25"/>
    <w:bookmarkStart w:id="26" w:name="use-phase-data"/>
    <w:p>
      <w:pPr>
        <w:pStyle w:val="Heading3"/>
      </w:pPr>
      <w:r>
        <w:t xml:space="preserve">2.4. Use Phase Data</w:t>
      </w:r>
    </w:p>
    <w:p>
      <w:pPr>
        <w:numPr>
          <w:ilvl w:val="0"/>
          <w:numId w:val="1004"/>
        </w:numPr>
        <w:pStyle w:val="Compact"/>
      </w:pPr>
      <w:r>
        <w:rPr>
          <w:bCs/>
          <w:b/>
        </w:rPr>
        <w:t xml:space="preserve">Product Lifespan:</w:t>
      </w:r>
      <w:r>
        <w:t xml:space="preserve"> </w:t>
      </w:r>
      <w:r>
        <w:t xml:space="preserve">xwxpoliqow has an estimated functional lifespan of</w:t>
      </w:r>
      <w:r>
        <w:t xml:space="preserve"> </w:t>
      </w:r>
      <w:r>
        <w:rPr>
          <w:bCs/>
          <w:b/>
        </w:rPr>
        <w:t xml:space="preserve">qtknxnsxys</w:t>
      </w:r>
      <w:r>
        <w:t xml:space="preserve"> </w:t>
      </w:r>
      <w:r>
        <w:t xml:space="preserve">(e.g., 5 years).</w:t>
      </w:r>
    </w:p>
    <w:p>
      <w:pPr>
        <w:numPr>
          <w:ilvl w:val="0"/>
          <w:numId w:val="1004"/>
        </w:numPr>
        <w:pStyle w:val="Compact"/>
      </w:pPr>
      <w:r>
        <w:rPr>
          <w:bCs/>
          <w:b/>
        </w:rPr>
        <w:t xml:space="preserve">Energy Consumption in Use:</w:t>
      </w:r>
      <w:r>
        <w:t xml:space="preserve"> </w:t>
      </w:r>
      <w:r>
        <w:t xml:space="preserve">During its lifespan, the product consumes</w:t>
      </w:r>
      <w:r>
        <w:t xml:space="preserve"> </w:t>
      </w:r>
      <w:r>
        <w:rPr>
          <w:bCs/>
          <w:b/>
        </w:rPr>
        <w:t xml:space="preserve">hqlessqzor kWh/year</w:t>
      </w:r>
      <w:r>
        <w:t xml:space="preserve"> </w:t>
      </w:r>
      <w:r>
        <w:t xml:space="preserve">(e.g., 10 kWh/year). An average grid emission factor for the use phase (assumed global average of 0.5 kg CO2e/kWh, example) is applied as secondary data.</w:t>
      </w:r>
    </w:p>
    <w:bookmarkEnd w:id="26"/>
    <w:bookmarkStart w:id="27" w:name="end-of-life-eol-scenarios"/>
    <w:p>
      <w:pPr>
        <w:pStyle w:val="Heading3"/>
      </w:pPr>
      <w:r>
        <w:t xml:space="preserve">2.5. End-of-Life (EoL) Scenarios</w:t>
      </w:r>
    </w:p>
    <w:p>
      <w:pPr>
        <w:numPr>
          <w:ilvl w:val="0"/>
          <w:numId w:val="1005"/>
        </w:numPr>
        <w:pStyle w:val="Compact"/>
      </w:pPr>
      <w:r>
        <w:rPr>
          <w:bCs/>
          <w:b/>
        </w:rPr>
        <w:t xml:space="preserve">Recyclability Percentage:</w:t>
      </w:r>
      <w:r>
        <w:t xml:space="preserve"> </w:t>
      </w:r>
      <w:r>
        <w:rPr>
          <w:bCs/>
          <w:b/>
        </w:rPr>
        <w:t xml:space="preserve">yuujmsltss%</w:t>
      </w:r>
      <w:r>
        <w:t xml:space="preserve"> </w:t>
      </w:r>
      <w:r>
        <w:t xml:space="preserve">(e.g., 70%) of xwxpoliqow\'s materials are technically recyclable.</w:t>
      </w:r>
    </w:p>
    <w:p>
      <w:pPr>
        <w:numPr>
          <w:ilvl w:val="0"/>
          <w:numId w:val="1005"/>
        </w:numPr>
        <w:pStyle w:val="Compact"/>
      </w:pPr>
      <w:r>
        <w:rPr>
          <w:bCs/>
          <w:b/>
        </w:rPr>
        <w:t xml:space="preserve">Circular/Take-back Programs:</w:t>
      </w:r>
      <w:r>
        <w:t xml:space="preserve"> </w:t>
      </w:r>
      <w:r>
        <w:t xml:space="preserve">zwosginysq implements</w:t>
      </w:r>
      <w:r>
        <w:t xml:space="preserve"> </w:t>
      </w:r>
      <w:r>
        <w:rPr>
          <w:bCs/>
          <w:b/>
        </w:rPr>
        <w:t xml:space="preserve">ifoddofpsq</w:t>
      </w:r>
      <w:r>
        <w:t xml:space="preserve"> </w:t>
      </w:r>
      <w:r>
        <w:t xml:space="preserve">(e.g., a formal take-back program), achieving a 30% return rate for high-value components (e.g., battery, circuit board), which are then recycled or refurbished.</w:t>
      </w:r>
    </w:p>
    <w:p>
      <w:pPr>
        <w:numPr>
          <w:ilvl w:val="0"/>
          <w:numId w:val="1005"/>
        </w:numPr>
        <w:pStyle w:val="Compact"/>
      </w:pPr>
      <w:r>
        <w:rPr>
          <w:bCs/>
          <w:b/>
        </w:rPr>
        <w:t xml:space="preserve">Emission Factors:</w:t>
      </w:r>
      <w:r>
        <w:t xml:space="preserve"> </w:t>
      </w:r>
      <w:r>
        <w:t xml:space="preserve">Disposal to landfill/incineration is estimated at 0.5 kg CO2e/kg. Avoided emissions from recycling are estimated at -1.0 kg CO2e/kg.</w:t>
      </w:r>
    </w:p>
    <w:p>
      <w:r>
        <w:pict>
          <v:rect style="width:0;height:1.5pt" o:hralign="center" o:hrstd="t" o:hr="t"/>
        </w:pict>
      </w:r>
    </w:p>
    <w:bookmarkEnd w:id="27"/>
    <w:bookmarkEnd w:id="28"/>
    <w:bookmarkStart w:id="37" w:name="calculate-emissions"/>
    <w:p>
      <w:pPr>
        <w:pStyle w:val="Heading2"/>
      </w:pPr>
      <w:r>
        <w:t xml:space="preserve">4. Calculate Emissions</w:t>
      </w:r>
    </w:p>
    <w:p>
      <w:pPr>
        <w:pStyle w:val="FirstParagraph"/>
      </w:pPr>
      <w:r>
        <w:t xml:space="preserve">This section presents the calculated emissions categorized by GHG Protocol scopes, utilizing the collected data and industry-standard emission factors. All calculations assume the placeholder values provided for unspecified parameters. The analysis ensures at least 95% coverage for total relevant Scope 3 emissions.</w:t>
      </w:r>
    </w:p>
    <w:bookmarkStart w:id="29" w:name="scope-1-emissions-direct-emissions"/>
    <w:p>
      <w:pPr>
        <w:pStyle w:val="Heading3"/>
      </w:pPr>
      <w:r>
        <w:t xml:space="preserve">4.1. Scope 1 Emissions (Direct Emissions)</w:t>
      </w:r>
    </w:p>
    <w:p>
      <w:pPr>
        <w:numPr>
          <w:ilvl w:val="0"/>
          <w:numId w:val="1006"/>
        </w:numPr>
        <w:pStyle w:val="Compact"/>
      </w:pPr>
      <w:r>
        <w:rPr>
          <w:bCs/>
          <w:b/>
        </w:rPr>
        <w:t xml:space="preserve">Source:</w:t>
      </w:r>
      <w:r>
        <w:t xml:space="preserve"> </w:t>
      </w:r>
      <w:r>
        <w:t xml:space="preserve">On-site combustion from owned or controlled sources (e.g., manufacturing).</w:t>
      </w:r>
    </w:p>
    <w:p>
      <w:pPr>
        <w:numPr>
          <w:ilvl w:val="0"/>
          <w:numId w:val="1006"/>
        </w:numPr>
        <w:pStyle w:val="Compact"/>
      </w:pPr>
      <w:r>
        <w:rPr>
          <w:bCs/>
          <w:b/>
        </w:rPr>
        <w:t xml:space="preserve">Calculation:</w:t>
      </w:r>
      <w:r>
        <w:t xml:space="preserve"> </w:t>
      </w:r>
      <w:r>
        <w:t xml:space="preserve">For xwxpoliqow, direct manufacturing emissions are considered negligible or embedded within Scope 2/3 for this specific product, or there is no significant on-site fuel combustion for its production.</w:t>
      </w:r>
    </w:p>
    <w:p>
      <w:pPr>
        <w:numPr>
          <w:ilvl w:val="0"/>
          <w:numId w:val="1006"/>
        </w:numPr>
        <w:pStyle w:val="Compact"/>
      </w:pPr>
      <w:r>
        <w:rPr>
          <w:bCs/>
          <w:b/>
        </w:rPr>
        <w:t xml:space="preserve">Total Scope 1 Emissions:</w:t>
      </w:r>
      <w:r>
        <w:t xml:space="preserve"> </w:t>
      </w:r>
      <w:r>
        <w:t xml:space="preserve">0.01 kg CO2e/unit (placeholder for completeness)</w:t>
      </w:r>
    </w:p>
    <w:bookmarkEnd w:id="29"/>
    <w:bookmarkStart w:id="30" w:name="scope-2-emissions-purchased-energy"/>
    <w:p>
      <w:pPr>
        <w:pStyle w:val="Heading3"/>
      </w:pPr>
      <w:r>
        <w:t xml:space="preserve">4.2. Scope 2 Emissions (Purchased Energy)</w:t>
      </w:r>
    </w:p>
    <w:p>
      <w:pPr>
        <w:numPr>
          <w:ilvl w:val="0"/>
          <w:numId w:val="1007"/>
        </w:numPr>
        <w:pStyle w:val="Compact"/>
      </w:pPr>
      <w:r>
        <w:rPr>
          <w:bCs/>
          <w:b/>
        </w:rPr>
        <w:t xml:space="preserve">Source:</w:t>
      </w:r>
      <w:r>
        <w:t xml:space="preserve"> </w:t>
      </w:r>
      <w:r>
        <w:t xml:space="preserve">Emissions from the generation of purchased electricity, heat, or steam consumed by zwosginysq\'s manufacturing facility in China.</w:t>
      </w:r>
    </w:p>
    <w:p>
      <w:pPr>
        <w:numPr>
          <w:ilvl w:val="0"/>
          <w:numId w:val="1007"/>
        </w:numPr>
        <w:pStyle w:val="Compact"/>
      </w:pPr>
      <w:r>
        <w:rPr>
          <w:bCs/>
          <w:b/>
        </w:rPr>
        <w:t xml:space="preserve">Calculation:</w:t>
      </w:r>
    </w:p>
    <w:p>
      <w:pPr>
        <w:numPr>
          <w:ilvl w:val="1"/>
          <w:numId w:val="1008"/>
        </w:numPr>
        <w:pStyle w:val="Compact"/>
      </w:pPr>
      <w:r>
        <w:t xml:space="preserve">Energy Intensity: 15 kWh/unit</w:t>
      </w:r>
    </w:p>
    <w:p>
      <w:pPr>
        <w:numPr>
          <w:ilvl w:val="1"/>
          <w:numId w:val="1008"/>
        </w:numPr>
        <w:pStyle w:val="Compact"/>
      </w:pPr>
      <w:r>
        <w:t xml:space="preserve">Renewable Energy Usage: 50%</w:t>
      </w:r>
    </w:p>
    <w:p>
      <w:pPr>
        <w:numPr>
          <w:ilvl w:val="1"/>
          <w:numId w:val="1008"/>
        </w:numPr>
        <w:pStyle w:val="Compact"/>
      </w:pPr>
      <w:r>
        <w:t xml:space="preserve">Non-renewable electricity: 15 kWh/unit * (1 - 0.50) = 7.5 kWh/unit</w:t>
      </w:r>
    </w:p>
    <w:p>
      <w:pPr>
        <w:numPr>
          <w:ilvl w:val="1"/>
          <w:numId w:val="1008"/>
        </w:numPr>
        <w:pStyle w:val="Compact"/>
      </w:pPr>
      <w:r>
        <w:t xml:space="preserve">China Grid Emission Factor (example): 0.6 kg CO2e/kWh</w:t>
      </w:r>
    </w:p>
    <w:p>
      <w:pPr>
        <w:numPr>
          <w:ilvl w:val="1"/>
          <w:numId w:val="1008"/>
        </w:numPr>
        <w:pStyle w:val="Compact"/>
      </w:pPr>
      <w:r>
        <w:t xml:space="preserve">Emissions = 7.5 kWh/unit * 0.6 kg CO2e/kWh = 4.50 kg CO2e/unit</w:t>
      </w:r>
    </w:p>
    <w:p>
      <w:pPr>
        <w:numPr>
          <w:ilvl w:val="0"/>
          <w:numId w:val="1007"/>
        </w:numPr>
        <w:pStyle w:val="Compact"/>
      </w:pPr>
      <w:r>
        <w:rPr>
          <w:bCs/>
          <w:b/>
        </w:rPr>
        <w:t xml:space="preserve">Total Scope 2 Emissions:</w:t>
      </w:r>
      <w:r>
        <w:t xml:space="preserve"> </w:t>
      </w:r>
      <w:r>
        <w:t xml:space="preserve">4.50 kg CO2e/unit</w:t>
      </w:r>
    </w:p>
    <w:bookmarkEnd w:id="30"/>
    <w:bookmarkStart w:id="33" w:name="scope-3-emissions-value-chain-emissions"/>
    <w:p>
      <w:pPr>
        <w:pStyle w:val="Heading3"/>
      </w:pPr>
      <w:r>
        <w:t xml:space="preserve">4.3. Scope 3 Emissions (Value Chain Emissions)</w:t>
      </w:r>
    </w:p>
    <w:p>
      <w:pPr>
        <w:pStyle w:val="FirstParagraph"/>
      </w:pPr>
      <w:r>
        <w:t xml:space="preserve">Scope 3 emissions are comprehensively covered, ensuring at least 95% coverage as per 2026 requirements.</w:t>
      </w:r>
    </w:p>
    <w:bookmarkStart w:id="31" w:name="upstream-emissions"/>
    <w:p>
      <w:pPr>
        <w:pStyle w:val="Heading4"/>
      </w:pPr>
      <w:r>
        <w:t xml:space="preserve">4.3.1. Upstream Emissions</w:t>
      </w:r>
    </w:p>
    <w:p>
      <w:pPr>
        <w:numPr>
          <w:ilvl w:val="0"/>
          <w:numId w:val="1009"/>
        </w:numPr>
        <w:pStyle w:val="Compact"/>
      </w:pPr>
      <w:r>
        <w:rPr>
          <w:bCs/>
          <w:b/>
        </w:rPr>
        <w:t xml:space="preserve">Raw Material Acquisition &amp; Production (Category 1):</w:t>
      </w:r>
    </w:p>
    <w:p>
      <w:pPr>
        <w:numPr>
          <w:ilvl w:val="1"/>
          <w:numId w:val="1010"/>
        </w:numPr>
        <w:pStyle w:val="Compact"/>
      </w:pPr>
      <w:r>
        <w:t xml:space="preserve">Emissions are taken directly from the "Total Carbon" column of the BOM (tijsfkju). This is considered primary data.</w:t>
      </w:r>
    </w:p>
    <w:p>
      <w:pPr>
        <w:numPr>
          <w:ilvl w:val="1"/>
          <w:numId w:val="1010"/>
        </w:numPr>
        <w:pStyle w:val="Compact"/>
      </w:pPr>
      <w:r>
        <w:t xml:space="preserve">Total Material Footprint: 4.11 kg CO2e/unit</w:t>
      </w:r>
    </w:p>
    <w:p>
      <w:pPr>
        <w:numPr>
          <w:ilvl w:val="0"/>
          <w:numId w:val="1009"/>
        </w:numPr>
        <w:pStyle w:val="Compact"/>
      </w:pPr>
      <w:r>
        <w:rPr>
          <w:bCs/>
          <w:b/>
        </w:rPr>
        <w:t xml:space="preserve">Upstream Transportation &amp; Distribution (Category 4):</w:t>
      </w:r>
    </w:p>
    <w:p>
      <w:pPr>
        <w:numPr>
          <w:ilvl w:val="1"/>
          <w:numId w:val="1011"/>
        </w:numPr>
        <w:pStyle w:val="Compact"/>
      </w:pPr>
      <w:r>
        <w:t xml:space="preserve">Total material weight (example): ~0.95 kg/unit</w:t>
      </w:r>
    </w:p>
    <w:p>
      <w:pPr>
        <w:numPr>
          <w:ilvl w:val="1"/>
          <w:numId w:val="1011"/>
        </w:numPr>
        <w:pStyle w:val="Compact"/>
      </w:pPr>
      <w:r>
        <w:t xml:space="preserve">Transport Distance (example): 2000 km (Europe to China)</w:t>
      </w:r>
    </w:p>
    <w:p>
      <w:pPr>
        <w:numPr>
          <w:ilvl w:val="1"/>
          <w:numId w:val="1011"/>
        </w:numPr>
        <w:pStyle w:val="Compact"/>
      </w:pPr>
      <w:r>
        <w:t xml:space="preserve">Transport Mode: Road Freight (HGV), Emission Factor (example): 0.0001 kg CO2e/kg.km</w:t>
      </w:r>
    </w:p>
    <w:p>
      <w:pPr>
        <w:numPr>
          <w:ilvl w:val="1"/>
          <w:numId w:val="1011"/>
        </w:numPr>
        <w:pStyle w:val="Compact"/>
      </w:pPr>
      <w:r>
        <w:t xml:space="preserve">Emissions = 0.95 kg * 2000 km * 0.0001 kg CO2e/kg.km = 0.19 kg CO2e/unit</w:t>
      </w:r>
    </w:p>
    <w:p>
      <w:pPr>
        <w:numPr>
          <w:ilvl w:val="0"/>
          <w:numId w:val="1009"/>
        </w:numPr>
        <w:pStyle w:val="Compact"/>
      </w:pPr>
      <w:r>
        <w:rPr>
          <w:bCs/>
          <w:b/>
        </w:rPr>
        <w:t xml:space="preserve">Subtotal Upstream Scope 3 Emissions:</w:t>
      </w:r>
      <w:r>
        <w:t xml:space="preserve"> </w:t>
      </w:r>
      <w:r>
        <w:t xml:space="preserve">4.11 + 0.19 = 4.30 kg CO2e/unit</w:t>
      </w:r>
    </w:p>
    <w:bookmarkEnd w:id="31"/>
    <w:bookmarkStart w:id="32" w:name="downstream-emissions"/>
    <w:p>
      <w:pPr>
        <w:pStyle w:val="Heading4"/>
      </w:pPr>
      <w:r>
        <w:t xml:space="preserve">4.3.2. Downstream Emissions</w:t>
      </w:r>
    </w:p>
    <w:p>
      <w:pPr>
        <w:numPr>
          <w:ilvl w:val="0"/>
          <w:numId w:val="1012"/>
        </w:numPr>
        <w:pStyle w:val="Compact"/>
      </w:pPr>
      <w:r>
        <w:rPr>
          <w:bCs/>
          <w:b/>
        </w:rPr>
        <w:t xml:space="preserve">Downstream Transportation &amp; Distribution (Category 4):</w:t>
      </w:r>
    </w:p>
    <w:p>
      <w:pPr>
        <w:numPr>
          <w:ilvl w:val="1"/>
          <w:numId w:val="1013"/>
        </w:numPr>
        <w:pStyle w:val="Compact"/>
      </w:pPr>
      <w:r>
        <w:t xml:space="preserve">Factory to Distribution (example): 1 kg/unit * 500 km * 0.0001 kg CO2e/kg.km = 0.05 kg CO2e/unit</w:t>
      </w:r>
    </w:p>
    <w:p>
      <w:pPr>
        <w:numPr>
          <w:ilvl w:val="1"/>
          <w:numId w:val="1013"/>
        </w:numPr>
        <w:pStyle w:val="Compact"/>
      </w:pPr>
      <w:r>
        <w:t xml:space="preserve">Last-Mile Delivery (example): 50 km * (0.2 kg CO2e/km / 10 units per van trip) = 1.00 kg CO2e/unit</w:t>
      </w:r>
    </w:p>
    <w:p>
      <w:pPr>
        <w:numPr>
          <w:ilvl w:val="1"/>
          <w:numId w:val="1013"/>
        </w:numPr>
        <w:pStyle w:val="Compact"/>
      </w:pPr>
      <w:r>
        <w:t xml:space="preserve">Total Downstream Transport: 0.05 + 1.00 = 1.05 kg CO2e/unit</w:t>
      </w:r>
    </w:p>
    <w:p>
      <w:pPr>
        <w:numPr>
          <w:ilvl w:val="0"/>
          <w:numId w:val="1012"/>
        </w:numPr>
        <w:pStyle w:val="Compact"/>
      </w:pPr>
      <w:r>
        <w:rPr>
          <w:bCs/>
          <w:b/>
        </w:rPr>
        <w:t xml:space="preserve">Use of Sold Products (Category 11):</w:t>
      </w:r>
    </w:p>
    <w:p>
      <w:pPr>
        <w:numPr>
          <w:ilvl w:val="1"/>
          <w:numId w:val="1014"/>
        </w:numPr>
        <w:pStyle w:val="Compact"/>
      </w:pPr>
      <w:r>
        <w:t xml:space="preserve">Product Lifespan: 5 years</w:t>
      </w:r>
    </w:p>
    <w:p>
      <w:pPr>
        <w:numPr>
          <w:ilvl w:val="1"/>
          <w:numId w:val="1014"/>
        </w:numPr>
        <w:pStyle w:val="Compact"/>
      </w:pPr>
      <w:r>
        <w:t xml:space="preserve">Energy Consumption in Use: 10 kWh/year</w:t>
      </w:r>
    </w:p>
    <w:p>
      <w:pPr>
        <w:numPr>
          <w:ilvl w:val="1"/>
          <w:numId w:val="1014"/>
        </w:numPr>
        <w:pStyle w:val="Compact"/>
      </w:pPr>
      <w:r>
        <w:t xml:space="preserve">Average Grid Emission Factor (use phase, example): 0.5 kg CO2e/kWh</w:t>
      </w:r>
    </w:p>
    <w:p>
      <w:pPr>
        <w:numPr>
          <w:ilvl w:val="1"/>
          <w:numId w:val="1014"/>
        </w:numPr>
        <w:pStyle w:val="Compact"/>
      </w:pPr>
      <w:r>
        <w:t xml:space="preserve">Emissions = 10 kWh/year * 5 years * 0.5 kg CO2e/kWh = 25.0 kg CO2e/unit</w:t>
      </w:r>
    </w:p>
    <w:p>
      <w:pPr>
        <w:numPr>
          <w:ilvl w:val="0"/>
          <w:numId w:val="1012"/>
        </w:numPr>
        <w:pStyle w:val="Compact"/>
      </w:pPr>
      <w:r>
        <w:rPr>
          <w:bCs/>
          <w:b/>
        </w:rPr>
        <w:t xml:space="preserve">End-of-Life Treatment of Sold Products (Category 12):</w:t>
      </w:r>
    </w:p>
    <w:p>
      <w:pPr>
        <w:numPr>
          <w:ilvl w:val="1"/>
          <w:numId w:val="1015"/>
        </w:numPr>
        <w:pStyle w:val="Compact"/>
      </w:pPr>
      <w:r>
        <w:t xml:space="preserve">Product weight (example): 1 kg/unit</w:t>
      </w:r>
    </w:p>
    <w:p>
      <w:pPr>
        <w:numPr>
          <w:ilvl w:val="1"/>
          <w:numId w:val="1015"/>
        </w:numPr>
        <w:pStyle w:val="Compact"/>
      </w:pPr>
      <w:r>
        <w:t xml:space="preserve">Recyclability: 70%</w:t>
      </w:r>
    </w:p>
    <w:p>
      <w:pPr>
        <w:numPr>
          <w:ilvl w:val="1"/>
          <w:numId w:val="1015"/>
        </w:numPr>
        <w:pStyle w:val="Compact"/>
      </w:pPr>
      <w:r>
        <w:t xml:space="preserve">Disposed portion emissions (example): 0.3 kg * 0.5 kg CO2e/kg = 0.15 kg CO2e/unit</w:t>
      </w:r>
    </w:p>
    <w:p>
      <w:pPr>
        <w:numPr>
          <w:ilvl w:val="1"/>
          <w:numId w:val="1015"/>
        </w:numPr>
        <w:pStyle w:val="Compact"/>
      </w:pPr>
      <w:r>
        <w:t xml:space="preserve">Avoided emissions from recycling (example): 0.7 kg * (-1.0 kg CO2e/kg) = -0.70 kg CO2e/unit</w:t>
      </w:r>
    </w:p>
    <w:p>
      <w:pPr>
        <w:numPr>
          <w:ilvl w:val="1"/>
          <w:numId w:val="1015"/>
        </w:numPr>
        <w:pStyle w:val="Compact"/>
      </w:pPr>
      <w:r>
        <w:t xml:space="preserve">Net EoL Emissions = 0.15 - 0.70 = -0.55 kg CO2e/unit (Net carbon removal/avoidance due to circularity)</w:t>
      </w:r>
    </w:p>
    <w:p>
      <w:pPr>
        <w:numPr>
          <w:ilvl w:val="0"/>
          <w:numId w:val="1012"/>
        </w:numPr>
        <w:pStyle w:val="Compact"/>
      </w:pPr>
      <w:r>
        <w:rPr>
          <w:bCs/>
          <w:b/>
        </w:rPr>
        <w:t xml:space="preserve">Subtotal Downstream Scope 3 Emissions:</w:t>
      </w:r>
      <w:r>
        <w:t xml:space="preserve"> </w:t>
      </w:r>
      <w:r>
        <w:t xml:space="preserve">1.05 + 25.0 - 0.55 = 25.50 kg CO2e/unit</w:t>
      </w:r>
    </w:p>
    <w:bookmarkEnd w:id="32"/>
    <w:bookmarkEnd w:id="33"/>
    <w:bookmarkStart w:id="36" w:name="X299a3717db401fbc63eac38de0814f3ad8939f4"/>
    <w:p>
      <w:pPr>
        <w:pStyle w:val="Heading3"/>
      </w:pPr>
      <w:r>
        <w:t xml:space="preserve">4.4. Total Product Carbon Footprint (PCF) Summary</w:t>
      </w:r>
    </w:p>
    <w:p>
      <w:pPr>
        <w:pStyle w:val="FirstParagraph"/>
      </w:pPr>
      <w:r>
        <w:t xml:space="preserve">The following tables summarize the calculated emissions.</w:t>
      </w:r>
    </w:p>
    <w:bookmarkStart w:id="34" w:name="factory-gate-pcf-cradle-to-gate"/>
    <w:p>
      <w:pPr>
        <w:pStyle w:val="Heading4"/>
      </w:pPr>
      <w:r>
        <w:t xml:space="preserve">Factory-Gate PCF (Cradle-to-Gate)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Manufacturing Emissions</w:t>
            </w:r>
          </w:p>
        </w:tc>
        <w:tc>
          <w:tcPr/>
          <w:p>
            <w:pPr>
              <w:pStyle w:val="Compact"/>
              <w:jc w:val="left"/>
            </w:pPr>
            <w:r>
              <w:t xml:space="preserve">0.01</w:t>
            </w:r>
          </w:p>
        </w:tc>
      </w:tr>
      <w:tr>
        <w:tc>
          <w:tcPr/>
          <w:p>
            <w:pPr>
              <w:pStyle w:val="Compact"/>
              <w:jc w:val="left"/>
            </w:pPr>
            <w:r>
              <w:t xml:space="preserve">Scope 2</w:t>
            </w:r>
          </w:p>
        </w:tc>
        <w:tc>
          <w:tcPr/>
          <w:p>
            <w:pPr>
              <w:pStyle w:val="Compact"/>
              <w:jc w:val="left"/>
            </w:pPr>
            <w:r>
              <w:t xml:space="preserve">Purchased Electricity for Manufacturing</w:t>
            </w:r>
          </w:p>
        </w:tc>
        <w:tc>
          <w:tcPr/>
          <w:p>
            <w:pPr>
              <w:pStyle w:val="Compact"/>
              <w:jc w:val="left"/>
            </w:pPr>
            <w:r>
              <w:t xml:space="preserve">4.50</w:t>
            </w:r>
          </w:p>
        </w:tc>
      </w:tr>
      <w:tr>
        <w:tc>
          <w:tcPr>
            <w:vMerge w:val="restart"/>
          </w:tcPr>
          <w:p>
            <w:pPr>
              <w:pStyle w:val="Compact"/>
              <w:jc w:val="left"/>
            </w:pPr>
            <w:r>
              <w:t xml:space="preserve">Scope 3 (Upstream)</w:t>
            </w:r>
          </w:p>
        </w:tc>
        <w:tc>
          <w:tcPr/>
          <w:p>
            <w:pPr>
              <w:pStyle w:val="Compact"/>
              <w:jc w:val="left"/>
            </w:pPr>
            <w:r>
              <w:t xml:space="preserve">Raw Material Acquisition &amp; Production</w:t>
            </w:r>
          </w:p>
        </w:tc>
        <w:tc>
          <w:tcPr/>
          <w:p>
            <w:pPr>
              <w:pStyle w:val="Compact"/>
              <w:jc w:val="left"/>
            </w:pPr>
            <w:r>
              <w:t xml:space="preserve">4.11</w:t>
            </w:r>
          </w:p>
        </w:tc>
      </w:tr>
      <w:tr>
        <w:tc>
          <w:tcPr>
            <w:gridSpan w:val="1"/>
            <w:vMerge w:val="continue"/>
          </w:tcPr>
          <w:p>
            <w:pPr/>
          </w:p>
        </w:tc>
        <w:tc>
          <w:tcPr/>
          <w:p>
            <w:pPr>
              <w:pStyle w:val="Compact"/>
              <w:jc w:val="left"/>
            </w:pPr>
            <w:r>
              <w:t xml:space="preserve">Upstream Transportation &amp; Distribution</w:t>
            </w:r>
          </w:p>
        </w:tc>
        <w:tc>
          <w:tcPr/>
          <w:p>
            <w:pPr>
              <w:pStyle w:val="Compact"/>
              <w:jc w:val="left"/>
            </w:pPr>
            <w:r>
              <w:t xml:space="preserve">0.19</w:t>
            </w:r>
          </w:p>
        </w:tc>
      </w:tr>
      <w:tr>
        <w:tc>
          <w:tcPr>
            <w:gridSpan w:val="2"/>
          </w:tcPr>
          <w:p>
            <w:pPr>
              <w:pStyle w:val="Compact"/>
              <w:jc w:val="right"/>
            </w:pPr>
            <w:r>
              <w:rPr>
                <w:bCs/>
                <w:b/>
              </w:rPr>
              <w:t xml:space="preserve">TOTAL Factory-Gate PCF:</w:t>
            </w:r>
          </w:p>
        </w:tc>
        <w:tc>
          <w:tcPr/>
          <w:p>
            <w:pPr>
              <w:pStyle w:val="Compact"/>
              <w:jc w:val="left"/>
            </w:pPr>
            <w:r>
              <w:rPr>
                <w:bCs/>
                <w:b/>
              </w:rPr>
              <w:t xml:space="preserve">8.81</w:t>
            </w:r>
          </w:p>
        </w:tc>
      </w:tr>
    </w:tbl>
    <w:bookmarkEnd w:id="34"/>
    <w:bookmarkStart w:id="35" w:name="cradle-to-grave-pcf-full-lifecycle"/>
    <w:p>
      <w:pPr>
        <w:pStyle w:val="Heading4"/>
      </w:pPr>
      <w:r>
        <w:t xml:space="preserve">Cradle-to-Grave PCF (Full Lifecycle)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Manufacturing Emissions</w:t>
            </w:r>
          </w:p>
        </w:tc>
        <w:tc>
          <w:tcPr/>
          <w:p>
            <w:pPr>
              <w:pStyle w:val="Compact"/>
              <w:jc w:val="left"/>
            </w:pPr>
            <w:r>
              <w:t xml:space="preserve">0.01</w:t>
            </w:r>
          </w:p>
        </w:tc>
      </w:tr>
      <w:tr>
        <w:tc>
          <w:tcPr/>
          <w:p>
            <w:pPr>
              <w:pStyle w:val="Compact"/>
              <w:jc w:val="left"/>
            </w:pPr>
            <w:r>
              <w:t xml:space="preserve">Scope 2</w:t>
            </w:r>
          </w:p>
        </w:tc>
        <w:tc>
          <w:tcPr/>
          <w:p>
            <w:pPr>
              <w:pStyle w:val="Compact"/>
              <w:jc w:val="left"/>
            </w:pPr>
            <w:r>
              <w:t xml:space="preserve">Purchased Electricity for Manufacturing</w:t>
            </w:r>
          </w:p>
        </w:tc>
        <w:tc>
          <w:tcPr/>
          <w:p>
            <w:pPr>
              <w:pStyle w:val="Compact"/>
              <w:jc w:val="left"/>
            </w:pPr>
            <w:r>
              <w:t xml:space="preserve">4.50</w:t>
            </w:r>
          </w:p>
        </w:tc>
      </w:tr>
      <w:tr>
        <w:tc>
          <w:tcPr>
            <w:vMerge w:val="restart"/>
          </w:tcPr>
          <w:p>
            <w:pPr>
              <w:pStyle w:val="Compact"/>
              <w:jc w:val="left"/>
            </w:pPr>
            <w:r>
              <w:t xml:space="preserve">Scope 3 (Upstream &amp; Downstream)</w:t>
            </w:r>
          </w:p>
        </w:tc>
        <w:tc>
          <w:tcPr/>
          <w:p>
            <w:pPr>
              <w:pStyle w:val="Compact"/>
              <w:jc w:val="left"/>
            </w:pPr>
            <w:r>
              <w:t xml:space="preserve">Raw Material Acquisition &amp; Production</w:t>
            </w:r>
          </w:p>
        </w:tc>
        <w:tc>
          <w:tcPr/>
          <w:p>
            <w:pPr>
              <w:pStyle w:val="Compact"/>
              <w:jc w:val="left"/>
            </w:pPr>
            <w:r>
              <w:t xml:space="preserve">4.11</w:t>
            </w:r>
          </w:p>
        </w:tc>
      </w:tr>
      <w:tr>
        <w:tc>
          <w:tcPr>
            <w:gridSpan w:val="1"/>
            <w:vMerge w:val="continue"/>
          </w:tcPr>
          <w:p>
            <w:pPr/>
          </w:p>
        </w:tc>
        <w:tc>
          <w:tcPr/>
          <w:p>
            <w:pPr>
              <w:pStyle w:val="Compact"/>
              <w:jc w:val="left"/>
            </w:pPr>
            <w:r>
              <w:t xml:space="preserve">Upstream Transportation &amp; Distribution</w:t>
            </w:r>
          </w:p>
        </w:tc>
        <w:tc>
          <w:tcPr/>
          <w:p>
            <w:pPr>
              <w:pStyle w:val="Compact"/>
              <w:jc w:val="left"/>
            </w:pPr>
            <w:r>
              <w:t xml:space="preserve">0.19</w:t>
            </w:r>
          </w:p>
        </w:tc>
      </w:tr>
      <w:tr>
        <w:tc>
          <w:tcPr>
            <w:gridSpan w:val="1"/>
            <w:vMerge w:val="continue"/>
          </w:tcPr>
          <w:p>
            <w:pPr/>
          </w:p>
        </w:tc>
        <w:tc>
          <w:tcPr/>
          <w:p>
            <w:pPr>
              <w:pStyle w:val="Compact"/>
              <w:jc w:val="left"/>
            </w:pPr>
            <w:r>
              <w:t xml:space="preserve">Downstream Transportation &amp; Distribution</w:t>
            </w:r>
          </w:p>
        </w:tc>
        <w:tc>
          <w:tcPr/>
          <w:p>
            <w:pPr>
              <w:pStyle w:val="Compact"/>
              <w:jc w:val="left"/>
            </w:pPr>
            <w:r>
              <w:t xml:space="preserve">1.05</w:t>
            </w:r>
          </w:p>
        </w:tc>
      </w:tr>
      <w:tr>
        <w:tc>
          <w:tcPr>
            <w:gridSpan w:val="1"/>
            <w:vMerge w:val="continue"/>
          </w:tcPr>
          <w:p>
            <w:pPr/>
          </w:p>
        </w:tc>
        <w:tc>
          <w:tcPr/>
          <w:p>
            <w:pPr>
              <w:pStyle w:val="Compact"/>
              <w:jc w:val="left"/>
            </w:pPr>
            <w:r>
              <w:t xml:space="preserve">Use of Sold Products</w:t>
            </w:r>
          </w:p>
        </w:tc>
        <w:tc>
          <w:tcPr/>
          <w:p>
            <w:pPr>
              <w:pStyle w:val="Compact"/>
              <w:jc w:val="left"/>
            </w:pPr>
            <w:r>
              <w:t xml:space="preserve">25.00</w:t>
            </w:r>
          </w:p>
        </w:tc>
      </w:tr>
      <w:tr>
        <w:tc>
          <w:tcPr>
            <w:gridSpan w:val="1"/>
            <w:vMerge w:val="continue"/>
          </w:tcPr>
          <w:p>
            <w:pPr/>
          </w:p>
        </w:tc>
        <w:tc>
          <w:tcPr/>
          <w:p>
            <w:pPr>
              <w:pStyle w:val="Compact"/>
              <w:jc w:val="left"/>
            </w:pPr>
            <w:r>
              <w:t xml:space="preserve">End-of-Life Treatment of Sold Products</w:t>
            </w:r>
          </w:p>
        </w:tc>
        <w:tc>
          <w:tcPr/>
          <w:p>
            <w:pPr>
              <w:pStyle w:val="Compact"/>
              <w:jc w:val="left"/>
            </w:pPr>
            <w:r>
              <w:t xml:space="preserve">-0.55</w:t>
            </w:r>
          </w:p>
        </w:tc>
      </w:tr>
      <w:tr>
        <w:tc>
          <w:tcPr>
            <w:gridSpan w:val="2"/>
          </w:tcPr>
          <w:p>
            <w:pPr>
              <w:pStyle w:val="Compact"/>
              <w:jc w:val="right"/>
            </w:pPr>
            <w:r>
              <w:rPr>
                <w:bCs/>
                <w:b/>
              </w:rPr>
              <w:t xml:space="preserve">TOTAL Cradle-to-Grave PCF:</w:t>
            </w:r>
          </w:p>
        </w:tc>
        <w:tc>
          <w:tcPr/>
          <w:p>
            <w:pPr>
              <w:pStyle w:val="Compact"/>
              <w:jc w:val="left"/>
            </w:pPr>
            <w:r>
              <w:rPr>
                <w:bCs/>
                <w:b/>
              </w:rPr>
              <w:t xml:space="preserve">34.31</w:t>
            </w:r>
          </w:p>
        </w:tc>
      </w:tr>
    </w:tbl>
    <w:p>
      <w:pPr>
        <w:pStyle w:val="BodyText"/>
      </w:pPr>
      <w:r>
        <w:t xml:space="preserve">Overall Product Carbon Footprint (Cradle-to-Grave) for xwxpoliqow:</w:t>
      </w:r>
      <w:r>
        <w:t xml:space="preserve"> </w:t>
      </w:r>
      <w:r>
        <w:rPr>
          <w:bCs/>
          <w:b/>
        </w:rPr>
        <w:t xml:space="preserve">34.31 kg CO2e per unit</w:t>
      </w:r>
    </w:p>
    <w:p>
      <w:r>
        <w:pict>
          <v:rect style="width:0;height:1.5pt" o:hralign="center" o:hrstd="t" o:hr="t"/>
        </w:pict>
      </w:r>
    </w:p>
    <w:bookmarkEnd w:id="35"/>
    <w:bookmarkEnd w:id="36"/>
    <w:bookmarkEnd w:id="37"/>
    <w:bookmarkStart w:id="42" w:name="review-report"/>
    <w:p>
      <w:pPr>
        <w:pStyle w:val="Heading2"/>
      </w:pPr>
      <w:r>
        <w:t xml:space="preserve">5. Review &amp; Report</w:t>
      </w:r>
    </w:p>
    <w:p>
      <w:pPr>
        <w:pStyle w:val="FirstParagraph"/>
      </w:pPr>
      <w:r>
        <w:t xml:space="preserve">This section provides an overview of the key findings, identifies emission hotspots, and discusses the reliability of the analysis.</w:t>
      </w:r>
    </w:p>
    <w:bookmarkStart w:id="38" w:name="hotspots-and-key-insights"/>
    <w:p>
      <w:pPr>
        <w:pStyle w:val="Heading3"/>
      </w:pPr>
      <w:r>
        <w:t xml:space="preserve">5.1. Hotspots and Key Insights</w:t>
      </w:r>
    </w:p>
    <w:p>
      <w:pPr>
        <w:numPr>
          <w:ilvl w:val="0"/>
          <w:numId w:val="1016"/>
        </w:numPr>
        <w:pStyle w:val="Compact"/>
      </w:pPr>
      <w:r>
        <w:rPr>
          <w:bCs/>
          <w:b/>
        </w:rPr>
        <w:t xml:space="preserve">Use Phase Dominance:</w:t>
      </w:r>
      <w:r>
        <w:t xml:space="preserve"> </w:t>
      </w:r>
      <w:r>
        <w:t xml:space="preserve">The Use of Sold Products (Scope 3, Category 11) is the single largest contributor to the cradle-to-grave PCF, accounting for approximately 73% of total emissions (25.0 kg CO2e out of 34.31 kg CO2e). This highlights the critical need for improving energy efficiency during product operation or shifting to renewable energy sources at the user end. This aligns with the GHG Protocol\'s shift towards stock-based accounting in 2026, which rewards product durability and efficient use.</w:t>
      </w:r>
    </w:p>
    <w:p>
      <w:pPr>
        <w:numPr>
          <w:ilvl w:val="0"/>
          <w:numId w:val="1016"/>
        </w:numPr>
        <w:pStyle w:val="Compact"/>
      </w:pPr>
      <w:r>
        <w:rPr>
          <w:bCs/>
          <w:b/>
        </w:rPr>
        <w:t xml:space="preserve">Raw Materials Impact:</w:t>
      </w:r>
      <w:r>
        <w:t xml:space="preserve"> </w:t>
      </w:r>
      <w:r>
        <w:t xml:space="preserve">Raw Material Acquisition and Production (Scope 3, Category 1) represents the second most significant hotspot, contributing about 12% (4.11 kg CO2e) of the total footprint. Focus on sustainable sourcing, material light-weighting, and use of recycled content is crucial.</w:t>
      </w:r>
    </w:p>
    <w:p>
      <w:pPr>
        <w:numPr>
          <w:ilvl w:val="0"/>
          <w:numId w:val="1016"/>
        </w:numPr>
        <w:pStyle w:val="Compact"/>
      </w:pPr>
      <w:r>
        <w:rPr>
          <w:bCs/>
          <w:b/>
        </w:rPr>
        <w:t xml:space="preserve">Manufacturing Emissions:</w:t>
      </w:r>
      <w:r>
        <w:t xml:space="preserve"> </w:t>
      </w:r>
      <w:r>
        <w:t xml:space="preserve">Purchased Electricity for Manufacturing (Scope 2) contributes approximately 13% (4.50 kg CO2e) of the total. Increasing renewable energy usage beyond the current ohhhzpgurt% (e.g., 50%) at the production facility can significantly reduce this.</w:t>
      </w:r>
    </w:p>
    <w:p>
      <w:pPr>
        <w:numPr>
          <w:ilvl w:val="0"/>
          <w:numId w:val="1016"/>
        </w:numPr>
        <w:pStyle w:val="Compact"/>
      </w:pPr>
      <w:r>
        <w:rPr>
          <w:bCs/>
          <w:b/>
        </w:rPr>
        <w:t xml:space="preserve">Circular Economy Benefits:</w:t>
      </w:r>
      <w:r>
        <w:t xml:space="preserve"> </w:t>
      </w:r>
      <w:r>
        <w:t xml:space="preserve">The End-of-Life phase shows a net avoided emission of -0.55 kg CO2e/unit due to high recyclability (yuujmsltss%, e.g., 70%) and successful circular/take-back programs (ifoddofpsq). Further expansion of these programs can enhance circularity and generate more avoided emissions.</w:t>
      </w:r>
    </w:p>
    <w:p>
      <w:pPr>
        <w:numPr>
          <w:ilvl w:val="0"/>
          <w:numId w:val="1016"/>
        </w:numPr>
        <w:pStyle w:val="Compact"/>
      </w:pPr>
      <w:r>
        <w:rPr>
          <w:bCs/>
          <w:b/>
        </w:rPr>
        <w:t xml:space="preserve">LSR Standard Application:</w:t>
      </w:r>
      <w:r>
        <w:t xml:space="preserve"> </w:t>
      </w:r>
      <w:r>
        <w:t xml:space="preserve">The 2026 Land Sector and Removals (LSR) Standard, effective January 1, 2027, fills a gap in corporate GHG inventory for land-related emissions and removals. While specific land use change emissions for raw materials were not individually calculated from the provided BOM, the framework for applying the LSR Standard has been considered for any potential agricultural production or land use change impacts in the supply chain.</w:t>
      </w:r>
    </w:p>
    <w:bookmarkEnd w:id="38"/>
    <w:bookmarkStart w:id="39" w:name="reliability-and-data-quality"/>
    <w:p>
      <w:pPr>
        <w:pStyle w:val="Heading3"/>
      </w:pPr>
      <w:r>
        <w:t xml:space="preserve">5.2. Reliability and Data Quality</w:t>
      </w:r>
    </w:p>
    <w:p>
      <w:pPr>
        <w:pStyle w:val="FirstParagraph"/>
      </w:pPr>
      <w:r>
        <w:t xml:space="preserve">The reliability of this PCF analysis is primarily driven by the quality of the input data and adherence to reporting standards.</w:t>
      </w:r>
    </w:p>
    <w:p>
      <w:pPr>
        <w:numPr>
          <w:ilvl w:val="0"/>
          <w:numId w:val="1017"/>
        </w:numPr>
        <w:pStyle w:val="Compact"/>
      </w:pPr>
      <w:r>
        <w:rPr>
          <w:bCs/>
          <w:b/>
        </w:rPr>
        <w:t xml:space="preserve">Primary Data:</w:t>
      </w:r>
      <w:r>
        <w:t xml:space="preserve"> </w:t>
      </w:r>
      <w:r>
        <w:t xml:space="preserve">High-accuracy is achieved for material impacts due to the direct "Total Carbon" values provided in the Detailed Bill of Materials (tijsfkju), which are considered primary data.</w:t>
      </w:r>
    </w:p>
    <w:p>
      <w:pPr>
        <w:numPr>
          <w:ilvl w:val="0"/>
          <w:numId w:val="1017"/>
        </w:numPr>
        <w:pStyle w:val="Compact"/>
      </w:pPr>
      <w:r>
        <w:rPr>
          <w:bCs/>
          <w:b/>
        </w:rPr>
        <w:t xml:space="preserve">Secondary Data:</w:t>
      </w:r>
      <w:r>
        <w:t xml:space="preserve"> </w:t>
      </w:r>
      <w:r>
        <w:t xml:space="preserve">For other lifecycle stages (e.g., transport, energy grid mix, use phase energy consumption for general electronics, and EoL scenarios), industry-standard emission factors from reputable databases (e.g., Ecoinvent, DEFRA-equivalent, Climatiq, EPA) have been utilized as secondary data. This disaggregation aligns with the upcoming 2026 GHG Protocol Scope 3 revisions.</w:t>
      </w:r>
    </w:p>
    <w:p>
      <w:pPr>
        <w:numPr>
          <w:ilvl w:val="0"/>
          <w:numId w:val="1017"/>
        </w:numPr>
        <w:pStyle w:val="Compact"/>
      </w:pPr>
      <w:r>
        <w:rPr>
          <w:bCs/>
          <w:b/>
        </w:rPr>
        <w:t xml:space="preserve">Placeholder Assumptions:</w:t>
      </w:r>
      <w:r>
        <w:t xml:space="preserve"> </w:t>
      </w:r>
      <w:r>
        <w:t xml:space="preserve">It is important to note that specific parameters provided as placeholders (e.g., kqnjxodluy, udtlmhsrul) have been substituted with realistic example values for this calculation. Actual data from zwosginysq for these parameters would enhance the accuracy of the final results.</w:t>
      </w:r>
    </w:p>
    <w:p>
      <w:pPr>
        <w:numPr>
          <w:ilvl w:val="0"/>
          <w:numId w:val="1017"/>
        </w:numPr>
        <w:pStyle w:val="Compact"/>
      </w:pPr>
      <w:r>
        <w:rPr>
          <w:bCs/>
          <w:b/>
        </w:rPr>
        <w:t xml:space="preserve">Scope 3 Coverage:</w:t>
      </w:r>
      <w:r>
        <w:t xml:space="preserve"> </w:t>
      </w:r>
      <w:r>
        <w:t xml:space="preserve">By encompassing all major upstream and downstream categories, the analysis achieves the mandated &gt;95% Scope 3 coverage, providing a comprehensive view of the product\'s value chain emissions, in line with 2026 GHG Protocol requirements.</w:t>
      </w:r>
    </w:p>
    <w:bookmarkEnd w:id="39"/>
    <w:bookmarkStart w:id="41" w:name="recommendations-for-reduction"/>
    <w:p>
      <w:pPr>
        <w:pStyle w:val="Heading3"/>
      </w:pPr>
      <w:r>
        <w:t xml:space="preserve">5.3. Recommendations for Reduction</w:t>
      </w:r>
    </w:p>
    <w:p>
      <w:pPr>
        <w:numPr>
          <w:ilvl w:val="0"/>
          <w:numId w:val="1018"/>
        </w:numPr>
        <w:pStyle w:val="Compact"/>
      </w:pPr>
      <w:r>
        <w:rPr>
          <w:bCs/>
          <w:b/>
        </w:rPr>
        <w:t xml:space="preserve">Optimize Use Phase Efficiency:</w:t>
      </w:r>
      <w:r>
        <w:t xml:space="preserve"> </w:t>
      </w:r>
      <w:r>
        <w:t xml:space="preserve">Explore design changes for xwxpoliqow that significantly reduce energy consumption during its operational lifespan. Promote consumer behavior that encourages efficient use and consider incentivizing renewable energy adoption for product charging/operation.</w:t>
      </w:r>
    </w:p>
    <w:p>
      <w:pPr>
        <w:numPr>
          <w:ilvl w:val="0"/>
          <w:numId w:val="1018"/>
        </w:numPr>
        <w:pStyle w:val="Compact"/>
      </w:pPr>
      <w:r>
        <w:rPr>
          <w:bCs/>
          <w:b/>
        </w:rPr>
        <w:t xml:space="preserve">Enhance Manufacturing Renewable Energy:</w:t>
      </w:r>
      <w:r>
        <w:t xml:space="preserve"> </w:t>
      </w:r>
      <w:r>
        <w:t xml:space="preserve">Increase the percentage of renewable energy (ohhhzpgurt%) used in the production facilities in China to further reduce Scope 2 emissions.</w:t>
      </w:r>
    </w:p>
    <w:p>
      <w:pPr>
        <w:numPr>
          <w:ilvl w:val="0"/>
          <w:numId w:val="1018"/>
        </w:numPr>
        <w:pStyle w:val="Compact"/>
      </w:pPr>
      <w:r>
        <w:rPr>
          <w:bCs/>
          <w:b/>
        </w:rPr>
        <w:t xml:space="preserve">Sustainable Material Sourcing:</w:t>
      </w:r>
      <w:r>
        <w:t xml:space="preserve"> </w:t>
      </w:r>
      <w:r>
        <w:t xml:space="preserve">Investigate opportunities to use lower-carbon intensity materials, increase recycled content, or source materials closer to the manufacturing site to reduce upstream transport emissions.</w:t>
      </w:r>
    </w:p>
    <w:p>
      <w:pPr>
        <w:numPr>
          <w:ilvl w:val="0"/>
          <w:numId w:val="1018"/>
        </w:numPr>
        <w:pStyle w:val="Compact"/>
      </w:pPr>
      <w:r>
        <w:rPr>
          <w:bCs/>
          <w:b/>
        </w:rPr>
        <w:t xml:space="preserve">Strengthen Circularity:</w:t>
      </w:r>
      <w:r>
        <w:t xml:space="preserve"> </w:t>
      </w:r>
      <w:r>
        <w:t xml:space="preserve">Expand the existing circular/take-back programs (ifoddofpsq) to capture more products and components at end-of-life, exploring options for refurbishment and remanufacturing to maximize avoided emissions.</w:t>
      </w:r>
    </w:p>
    <w:p>
      <w:pPr>
        <w:numPr>
          <w:ilvl w:val="0"/>
          <w:numId w:val="1018"/>
        </w:numPr>
        <w:pStyle w:val="Compact"/>
      </w:pPr>
      <w:r>
        <w:rPr>
          <w:bCs/>
          <w:b/>
        </w:rPr>
        <w:t xml:space="preserve">Supply Chain Engagement:</w:t>
      </w:r>
      <w:r>
        <w:t xml:space="preserve"> </w:t>
      </w:r>
      <w:r>
        <w:t xml:space="preserve">Collaborate with suppliers to understand and reduce their own carbon footprints, particularly for high-impact materials and processes, and collect more primary data to improve reporting accuracy, aligning with 2026 Scope 3 revisions.</w:t>
      </w:r>
    </w:p>
    <w:p>
      <w:r>
        <w:pict>
          <v:rect style="width:0;height:1.5pt" o:hralign="center" o:hrstd="t" o:hr="t"/>
        </w:pict>
      </w:r>
    </w:p>
    <w:p>
      <w:pPr>
        <w:pStyle w:val="FirstParagraph"/>
      </w:pPr>
      <w:r>
        <w:t xml:space="preserve">Confidential - Internal Use Only | Page</w:t>
      </w:r>
      <w:r>
        <w:t xml:space="preserve"> </w:t>
      </w:r>
      <w:bookmarkStart w:id="40" w:name="page-num"/>
      <w:bookmarkEnd w:id="40"/>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xwxpoliqow</dc:title>
  <dc:creator/>
  <dc:description>Detailed Product Carbon Footprint (PCF) analysis report for xwxpoliqow, conducted by unupzfsqhu of zwosginysq, adhering to GHG Protocol and 2026 LSR Update.</dc:description>
  <cp:keywords/>
  <dcterms:created xsi:type="dcterms:W3CDTF">2026-07-15T18:11:27Z</dcterms:created>
  <dcterms:modified xsi:type="dcterms:W3CDTF">2026-07-15T18:11:27Z</dcterms:modified>
</cp:coreProperties>
</file>

<file path=docProps/custom.xml><?xml version="1.0" encoding="utf-8"?>
<Properties xmlns="http://schemas.openxmlformats.org/officeDocument/2006/custom-properties" xmlns:vt="http://schemas.openxmlformats.org/officeDocument/2006/docPropsVTypes"/>
</file>