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xvjdusftps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xvjdusftps</w:t>
      </w:r>
    </w:p>
    <w:p>
      <w:pPr>
        <w:pStyle w:val="BodyText"/>
      </w:pPr>
      <w:r>
        <w:rPr>
          <w:bCs/>
          <w:b/>
        </w:rPr>
        <w:t xml:space="preserve">Company Name:</w:t>
      </w:r>
      <w:r>
        <w:t xml:space="preserve"> </w:t>
      </w:r>
      <w:r>
        <w:t xml:space="preserve">lrqtkxlhtg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sxottilvly</w:t>
      </w:r>
    </w:p>
    <w:p>
      <w:pPr>
        <w:pStyle w:val="BodyText"/>
      </w:pPr>
      <w:r>
        <w:t xml:space="preserve">This report is generated based on available data and industry standards, incorporating specific parameters provided for a detailed Product Carbon Footprint analysis. All emission factors and calculations not explicitly provided were derived from industry-standard averages (e.g., IEA, EPA, GLEC) and are explicitly stated as assumptions.</w:t>
      </w:r>
    </w:p>
    <w:bookmarkEnd w:id="20"/>
    <w:bookmarkStart w:id="21" w:name="X9805d37ddb64fa697dcc659a84dd60c4ade8738"/>
    <w:p>
      <w:pPr>
        <w:pStyle w:val="Heading1"/>
      </w:pPr>
      <w:r>
        <w:t xml:space="preserve">Product Carbon Footprint Analysis for xvjdusftps</w:t>
      </w:r>
    </w:p>
    <w:p>
      <w:pPr>
        <w:pStyle w:val="FirstParagraph"/>
      </w:pPr>
      <w:r>
        <w:t xml:space="preserve">Generated Date: May 21,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xvjdusftps</w:t>
      </w:r>
      <w:r>
        <w:t xml:space="preserve">, manufactured by</w:t>
      </w:r>
      <w:r>
        <w:t xml:space="preserve"> </w:t>
      </w:r>
      <w:r>
        <w:rPr>
          <w:bCs/>
          <w:b/>
        </w:rPr>
        <w:t xml:space="preserve">lrqtkxlhtg</w:t>
      </w:r>
      <w:r>
        <w:t xml:space="preserve">. The assessment was conducted by</w:t>
      </w:r>
      <w:r>
        <w:t xml:space="preserve"> </w:t>
      </w:r>
      <w:r>
        <w:rPr>
          <w:bCs/>
          <w:b/>
        </w:rPr>
        <w:t xml:space="preserve">sxottilvly</w:t>
      </w:r>
      <w:r>
        <w:t xml:space="preserve">, a Senior Sustainability Consultant specializing in GHG Protocol, adhering strictly to the GHG Protocol Corporate Standard and the Corporate Value Chain (Scope 3) Accounting and Reporting Standard. This analysis provides a comprehensive overview of the greenhouse gas (GHG) emissions across the product\'s entire lifecycle, from raw material extraction to end-of-life treatment, with a functional unit of 1.0 unit. Key insights include emission hotspots, the impact of renewable energy usage, and circular economy considerations.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numPr>
          <w:ilvl w:val="0"/>
          <w:numId w:val="1001"/>
        </w:numPr>
        <w:pStyle w:val="Compact"/>
      </w:pPr>
      <w:r>
        <w:t xml:space="preserve">The functional unit for this PCF analysis is</w:t>
      </w:r>
      <w:r>
        <w:t xml:space="preserve"> </w:t>
      </w:r>
      <w:r>
        <w:rPr>
          <w:bCs/>
          <w:b/>
        </w:rPr>
        <w:t xml:space="preserve">1.0 unit</w:t>
      </w:r>
      <w:r>
        <w:t xml:space="preserve"> </w:t>
      </w:r>
      <w:r>
        <w:t xml:space="preserve">of xvjdusftps.</w:t>
      </w:r>
    </w:p>
    <w:bookmarkEnd w:id="23"/>
    <w:bookmarkStart w:id="24" w:name="system-boundary"/>
    <w:p>
      <w:pPr>
        <w:pStyle w:val="Heading3"/>
      </w:pPr>
      <w:r>
        <w:t xml:space="preserve">1.2. System Boundary</w:t>
      </w:r>
    </w:p>
    <w:p>
      <w:pPr>
        <w:numPr>
          <w:ilvl w:val="0"/>
          <w:numId w:val="1002"/>
        </w:numPr>
        <w:pStyle w:val="Compact"/>
      </w:pPr>
      <w:r>
        <w:t xml:space="preserve">The system boundary is set as</w:t>
      </w:r>
      <w:r>
        <w:t xml:space="preserve"> </w:t>
      </w:r>
      <w:r>
        <w:rPr>
          <w:bCs/>
          <w:b/>
        </w:rPr>
        <w:t xml:space="preserve">factory_gate</w:t>
      </w:r>
      <w:r>
        <w:t xml:space="preserve">, encompassing all processes from raw material acquisition and pre-processing, product manufacturing, and transport to the factory gate. For a comprehensive PCF, downstream stages (transport to consumer, use phase, and end-of-life) are also included in this report to provide a complete cradle-to-grave perspective.</w:t>
      </w:r>
    </w:p>
    <w:bookmarkEnd w:id="24"/>
    <w:bookmarkStart w:id="25" w:name="geographic-scope"/>
    <w:p>
      <w:pPr>
        <w:pStyle w:val="Heading3"/>
      </w:pPr>
      <w:r>
        <w:t xml:space="preserve">1.3. Geographic Scope</w:t>
      </w:r>
    </w:p>
    <w:p>
      <w:pPr>
        <w:numPr>
          <w:ilvl w:val="0"/>
          <w:numId w:val="1003"/>
        </w:numPr>
        <w:pStyle w:val="Compact"/>
      </w:pPr>
      <w:r>
        <w:t xml:space="preserve">The final production country for xvjdusftps is</w:t>
      </w:r>
      <w:r>
        <w:t xml:space="preserve"> </w:t>
      </w:r>
      <w:r>
        <w:rPr>
          <w:bCs/>
          <w:b/>
        </w:rPr>
        <w:t xml:space="preserve">China</w:t>
      </w:r>
      <w:r>
        <w:t xml:space="preserve">.</w:t>
      </w:r>
    </w:p>
    <w:p>
      <w:pPr>
        <w:numPr>
          <w:ilvl w:val="0"/>
          <w:numId w:val="1003"/>
        </w:numPr>
        <w:pStyle w:val="Compact"/>
      </w:pPr>
      <w:r>
        <w:t xml:space="preserve">The supply chain focus for upstream activities is</w:t>
      </w:r>
      <w:r>
        <w:t xml:space="preserve"> </w:t>
      </w:r>
      <w:r>
        <w:rPr>
          <w:bCs/>
          <w:b/>
        </w:rPr>
        <w:t xml:space="preserve">Europe Focused</w:t>
      </w:r>
      <w:r>
        <w:t xml:space="preserve">.</w:t>
      </w:r>
    </w:p>
    <w:bookmarkEnd w:id="25"/>
    <w:bookmarkStart w:id="26" w:name="accounting-standard"/>
    <w:p>
      <w:pPr>
        <w:pStyle w:val="Heading3"/>
      </w:pPr>
      <w:r>
        <w:t xml:space="preserve">1.4. Accounting Standard</w:t>
      </w:r>
    </w:p>
    <w:p>
      <w:pPr>
        <w:numPr>
          <w:ilvl w:val="0"/>
          <w:numId w:val="1004"/>
        </w:numPr>
        <w:pStyle w:val="Compact"/>
      </w:pPr>
      <w:r>
        <w:t xml:space="preserve">All emissions are accounted for and categorized according to the</w:t>
      </w:r>
      <w:r>
        <w:t xml:space="preserve"> </w:t>
      </w:r>
      <w:r>
        <w:rPr>
          <w:bCs/>
          <w:b/>
        </w:rPr>
        <w:t xml:space="preserve">GHG Protocol</w:t>
      </w:r>
      <w:r>
        <w:t xml:space="preserve"> </w:t>
      </w:r>
      <w:r>
        <w:t xml:space="preserve">Corporate Standard and Corporate Value Chain (Scope 3) Accounting and Reporting Standard. Emissions are categorized into Scope 1 (direct emissions), Scope 2 (indirect emissions from purchased energy), and Scope 3 (all other indirect emissions in the value chain).</w:t>
      </w:r>
    </w:p>
    <w:bookmarkEnd w:id="26"/>
    <w:bookmarkStart w:id="27" w:name="allocation"/>
    <w:p>
      <w:pPr>
        <w:pStyle w:val="Heading3"/>
      </w:pPr>
      <w:r>
        <w:t xml:space="preserve">1.5. Allocation</w:t>
      </w:r>
    </w:p>
    <w:p>
      <w:pPr>
        <w:numPr>
          <w:ilvl w:val="0"/>
          <w:numId w:val="1005"/>
        </w:numPr>
        <w:pStyle w:val="Compact"/>
      </w:pPr>
      <w:r>
        <w:t xml:space="preserve">Emissions have been allocated to the functional unit based on direct mass and energy consumption attributable to the production of a single unit of xvjdusftps. For shared processes, allocation is based on relevant physical parameters (e.g., mass, energy use).</w:t>
      </w:r>
    </w:p>
    <w:p>
      <w:r>
        <w:pict>
          <v:rect style="width:0;height:1.5pt" o:hralign="center" o:hrstd="t" o:hr="t"/>
        </w:pict>
      </w:r>
    </w:p>
    <w:bookmarkEnd w:id="27"/>
    <w:bookmarkEnd w:id="28"/>
    <w:bookmarkStart w:id="29" w:name="map-lifecycle-lci-inventory-stages"/>
    <w:p>
      <w:pPr>
        <w:pStyle w:val="Heading2"/>
      </w:pPr>
      <w:r>
        <w:t xml:space="preserve">2. Map Lifecycle (LCI Inventory Stages)</w:t>
      </w:r>
    </w:p>
    <w:p>
      <w:pPr>
        <w:pStyle w:val="FirstParagraph"/>
      </w:pPr>
      <w:r>
        <w:t xml:space="preserve">The lifecycle of xvjdusftps has been mapped into the following stages, in accordance with GHG Protocol guidelines:</w:t>
      </w:r>
    </w:p>
    <w:p>
      <w:pPr>
        <w:numPr>
          <w:ilvl w:val="0"/>
          <w:numId w:val="1006"/>
        </w:numPr>
        <w:pStyle w:val="Compact"/>
      </w:pPr>
      <w:r>
        <w:rPr>
          <w:bCs/>
          <w:b/>
        </w:rPr>
        <w:t xml:space="preserve">Raw Material Acquisition &amp; Pre-processing (Scope 3, Category 1):</w:t>
      </w:r>
      <w:r>
        <w:t xml:space="preserve"> </w:t>
      </w:r>
      <w:r>
        <w:t xml:space="preserve">This stage covers emissions associated with extracting raw materials and their initial processing into usable forms.</w:t>
      </w:r>
    </w:p>
    <w:p>
      <w:pPr>
        <w:numPr>
          <w:ilvl w:val="0"/>
          <w:numId w:val="1006"/>
        </w:numPr>
        <w:pStyle w:val="Compact"/>
      </w:pPr>
      <w:r>
        <w:rPr>
          <w:bCs/>
          <w:b/>
        </w:rPr>
        <w:t xml:space="preserve">Manufacturing (Scope 1, 2, &amp; 3 - Category 1):</w:t>
      </w:r>
      <w:r>
        <w:t xml:space="preserve"> </w:t>
      </w:r>
      <w:r>
        <w:t xml:space="preserve">Encompasses emissions from the production processes at the manufacturing facility, including direct emissions (Scope 1), purchased electricity (Scope 2), and upstream emissions from purchased goods and services used in manufacturing (part of Scope 3, Category 1).</w:t>
      </w:r>
    </w:p>
    <w:p>
      <w:pPr>
        <w:numPr>
          <w:ilvl w:val="0"/>
          <w:numId w:val="1006"/>
        </w:numPr>
        <w:pStyle w:val="Compact"/>
      </w:pPr>
      <w:r>
        <w:rPr>
          <w:bCs/>
          <w:b/>
        </w:rPr>
        <w:t xml:space="preserve">Transportation (Scope 3, Category 4 &amp; 9):</w:t>
      </w:r>
      <w:r>
        <w:t xml:space="preserve"> </w:t>
      </w:r>
      <w:r>
        <w:t xml:space="preserve">Includes both upstream transportation of raw materials to the manufacturing facility and downstream transportation of the finished product to distribution centers and last-mile delivery.</w:t>
      </w:r>
    </w:p>
    <w:p>
      <w:pPr>
        <w:numPr>
          <w:ilvl w:val="0"/>
          <w:numId w:val="1006"/>
        </w:numPr>
        <w:pStyle w:val="Compact"/>
      </w:pPr>
      <w:r>
        <w:rPr>
          <w:bCs/>
          <w:b/>
        </w:rPr>
        <w:t xml:space="preserve">Use Phase (Scope 3, Category 11):</w:t>
      </w:r>
      <w:r>
        <w:t xml:space="preserve"> </w:t>
      </w:r>
      <w:r>
        <w:t xml:space="preserve">Accounts for emissions generated during the product\'s intended use by the consumer over its lifespan.</w:t>
      </w:r>
    </w:p>
    <w:p>
      <w:pPr>
        <w:numPr>
          <w:ilvl w:val="0"/>
          <w:numId w:val="1006"/>
        </w:numPr>
        <w:pStyle w:val="Compact"/>
      </w:pPr>
      <w:r>
        <w:rPr>
          <w:bCs/>
          <w:b/>
        </w:rPr>
        <w:t xml:space="preserve">End-of-Life Treatment (Scope 3, Category 12):</w:t>
      </w:r>
      <w:r>
        <w:t xml:space="preserve"> </w:t>
      </w:r>
      <w:r>
        <w:t xml:space="preserve">Covers emissions from the disposal, recycling, or recovery of the product and its packaging at the end of its useful life.</w:t>
      </w:r>
    </w:p>
    <w:p>
      <w:r>
        <w:pict>
          <v:rect style="width:0;height:1.5pt" o:hralign="center" o:hrstd="t" o:hr="t"/>
        </w:pict>
      </w:r>
    </w:p>
    <w:bookmarkEnd w:id="29"/>
    <w:bookmarkStart w:id="36" w:name="Xb57f50a89bf1f3f1837369be949d9d60d6c1272"/>
    <w:p>
      <w:pPr>
        <w:pStyle w:val="Heading2"/>
      </w:pPr>
      <w:r>
        <w:t xml:space="preserve">3. Collect Data (Primary/Secondary Data Points)</w:t>
      </w:r>
    </w:p>
    <w:p>
      <w:pPr>
        <w:pStyle w:val="FirstParagraph"/>
      </w:pPr>
      <w:r>
        <w:t xml:space="preserve">Data was collected from various sources, prioritizing primary data where available and supplementing with robust secondary (industry average) data where necessary. Specific parameters provided by</w:t>
      </w:r>
      <w:r>
        <w:t xml:space="preserve"> </w:t>
      </w:r>
      <w:r>
        <w:rPr>
          <w:bCs/>
          <w:b/>
        </w:rPr>
        <w:t xml:space="preserve">lrqtkxlhtg</w:t>
      </w:r>
      <w:r>
        <w:t xml:space="preserve"> </w:t>
      </w:r>
      <w:r>
        <w:t xml:space="preserve">were integrated directly into the analysis.</w:t>
      </w:r>
    </w:p>
    <w:bookmarkStart w:id="30" w:name="X39a77dea92bc4f3a9332dc32346ebd28247abdf"/>
    <w:p>
      <w:pPr>
        <w:pStyle w:val="Heading3"/>
      </w:pPr>
      <w:r>
        <w:t xml:space="preserve">3.1. Detailed Bill of Materials (BOM) - dzjzdkzm</w:t>
      </w:r>
    </w:p>
    <w:p>
      <w:pPr>
        <w:pStyle w:val="FirstParagraph"/>
      </w:pPr>
      <w:r>
        <w:t xml:space="preserve">The following detailed Bill of Materials was provided and used for material impact calculation. The \'Total Carbon\' values represent the pre-calculated CO2e for each material based on its quantity and virgin material emission factor. The total weight of materials for 1 functional unit is 0.9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ID1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ID2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ID3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ID4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bookmarkEnd w:id="30"/>
    <w:bookmarkStart w:id="31" w:name="logistics-data"/>
    <w:p>
      <w:pPr>
        <w:pStyle w:val="Heading3"/>
      </w:pPr>
      <w:r>
        <w:t xml:space="preserve">3.2. Logistics Data</w:t>
      </w:r>
    </w:p>
    <w:p>
      <w:pPr>
        <w:numPr>
          <w:ilvl w:val="0"/>
          <w:numId w:val="1007"/>
        </w:numPr>
        <w:pStyle w:val="Compact"/>
      </w:pPr>
      <w:r>
        <w:rPr>
          <w:bCs/>
          <w:b/>
        </w:rPr>
        <w:t xml:space="preserve">Transport Mode (Upstream &amp; Downstream):</w:t>
      </w:r>
      <w:r>
        <w:t xml:space="preserve"> </w:t>
      </w:r>
      <w:r>
        <w:t xml:space="preserve">Heavy Duty Truck (Primary mode for bulk transport).</w:t>
      </w:r>
    </w:p>
    <w:p>
      <w:pPr>
        <w:numPr>
          <w:ilvl w:val="0"/>
          <w:numId w:val="1007"/>
        </w:numPr>
        <w:pStyle w:val="Compact"/>
      </w:pPr>
      <w:r>
        <w:rPr>
          <w:bCs/>
          <w:b/>
        </w:rPr>
        <w:t xml:space="preserve">Transport Distance (Upstream &amp; Downstream):</w:t>
      </w:r>
      <w:r>
        <w:t xml:space="preserve"> </w:t>
      </w:r>
      <w:r>
        <w:t xml:space="preserve">1500 km (assumed average for main logistics routes).</w:t>
      </w:r>
    </w:p>
    <w:p>
      <w:pPr>
        <w:numPr>
          <w:ilvl w:val="0"/>
          <w:numId w:val="1007"/>
        </w:numPr>
        <w:pStyle w:val="Compact"/>
      </w:pPr>
      <w:r>
        <w:rPr>
          <w:bCs/>
          <w:b/>
        </w:rPr>
        <w:t xml:space="preserve">Last-Mile Delivery Channel:</w:t>
      </w:r>
      <w:r>
        <w:t xml:space="preserve"> </w:t>
      </w:r>
      <w:r>
        <w:t xml:space="preserve">Parcel Van (for final distribution to customers).</w:t>
      </w:r>
    </w:p>
    <w:p>
      <w:pPr>
        <w:numPr>
          <w:ilvl w:val="0"/>
          <w:numId w:val="1007"/>
        </w:numPr>
        <w:pStyle w:val="Compact"/>
      </w:pPr>
      <w:r>
        <w:rPr>
          <w:bCs/>
          <w:b/>
        </w:rPr>
        <w:t xml:space="preserve">Last-Mile Distance:</w:t>
      </w:r>
      <w:r>
        <w:t xml:space="preserve"> </w:t>
      </w:r>
      <w:r>
        <w:t xml:space="preserve">50 km (assumed average for local delivery).</w:t>
      </w:r>
    </w:p>
    <w:bookmarkEnd w:id="31"/>
    <w:bookmarkStart w:id="32" w:name="production-energy-data"/>
    <w:p>
      <w:pPr>
        <w:pStyle w:val="Heading3"/>
      </w:pPr>
      <w:r>
        <w:t xml:space="preserve">3.3. Production Energy Data</w:t>
      </w:r>
    </w:p>
    <w:p>
      <w:pPr>
        <w:numPr>
          <w:ilvl w:val="0"/>
          <w:numId w:val="1008"/>
        </w:numPr>
        <w:pStyle w:val="Compact"/>
      </w:pPr>
      <w:r>
        <w:rPr>
          <w:bCs/>
          <w:b/>
        </w:rPr>
        <w:t xml:space="preserve">Renewable Energy Usage:</w:t>
      </w:r>
      <w:r>
        <w:t xml:space="preserve"> </w:t>
      </w:r>
      <w:r>
        <w:t xml:space="preserve">60% (meaning 60% of the purchased electricity for production comes from certified renewable sources).</w:t>
      </w:r>
    </w:p>
    <w:p>
      <w:pPr>
        <w:numPr>
          <w:ilvl w:val="0"/>
          <w:numId w:val="1008"/>
        </w:numPr>
        <w:pStyle w:val="Compact"/>
      </w:pPr>
      <w:r>
        <w:rPr>
          <w:bCs/>
          <w:b/>
        </w:rPr>
        <w:t xml:space="preserve">Energy Intensity (kWh/unit):</w:t>
      </w:r>
      <w:r>
        <w:t xml:space="preserve"> </w:t>
      </w:r>
      <w:r>
        <w:t xml:space="preserve">25 kWh/unit.</w:t>
      </w:r>
    </w:p>
    <w:p>
      <w:pPr>
        <w:numPr>
          <w:ilvl w:val="0"/>
          <w:numId w:val="1008"/>
        </w:numPr>
        <w:pStyle w:val="Compact"/>
      </w:pPr>
      <w:r>
        <w:rPr>
          <w:bCs/>
          <w:b/>
        </w:rPr>
        <w:t xml:space="preserve">Geographic Grid Mix:</w:t>
      </w:r>
      <w:r>
        <w:t xml:space="preserve"> </w:t>
      </w:r>
      <w:r>
        <w:t xml:space="preserve">China (for non-renewable portion of purchased electricity).</w:t>
      </w:r>
    </w:p>
    <w:bookmarkEnd w:id="32"/>
    <w:bookmarkStart w:id="33" w:name="product-use-phase-data"/>
    <w:p>
      <w:pPr>
        <w:pStyle w:val="Heading3"/>
      </w:pPr>
      <w:r>
        <w:t xml:space="preserve">3.4. Product Use Phase Data</w:t>
      </w:r>
    </w:p>
    <w:p>
      <w:pPr>
        <w:numPr>
          <w:ilvl w:val="0"/>
          <w:numId w:val="1009"/>
        </w:numPr>
        <w:pStyle w:val="Compact"/>
      </w:pPr>
      <w:r>
        <w:rPr>
          <w:bCs/>
          <w:b/>
        </w:rPr>
        <w:t xml:space="preserve">Product Lifespan:</w:t>
      </w:r>
      <w:r>
        <w:t xml:space="preserve"> </w:t>
      </w:r>
      <w:r>
        <w:t xml:space="preserve">7 years.</w:t>
      </w:r>
    </w:p>
    <w:p>
      <w:pPr>
        <w:numPr>
          <w:ilvl w:val="0"/>
          <w:numId w:val="1009"/>
        </w:numPr>
        <w:pStyle w:val="Compact"/>
      </w:pPr>
      <w:r>
        <w:rPr>
          <w:bCs/>
          <w:b/>
        </w:rPr>
        <w:t xml:space="preserve">Energy Consumption in Use:</w:t>
      </w:r>
      <w:r>
        <w:t xml:space="preserve"> </w:t>
      </w:r>
      <w:r>
        <w:t xml:space="preserve">10 kWh/year.</w:t>
      </w:r>
    </w:p>
    <w:bookmarkEnd w:id="33"/>
    <w:bookmarkStart w:id="34" w:name="end-of-life-eol-data"/>
    <w:p>
      <w:pPr>
        <w:pStyle w:val="Heading3"/>
      </w:pPr>
      <w:r>
        <w:t xml:space="preserve">3.5. End-of-Life (EoL) Data</w:t>
      </w:r>
    </w:p>
    <w:p>
      <w:pPr>
        <w:numPr>
          <w:ilvl w:val="0"/>
          <w:numId w:val="1010"/>
        </w:numPr>
        <w:pStyle w:val="Compact"/>
      </w:pPr>
      <w:r>
        <w:rPr>
          <w:bCs/>
          <w:b/>
        </w:rPr>
        <w:t xml:space="preserve">Recyclability Percentage:</w:t>
      </w:r>
      <w:r>
        <w:t xml:space="preserve"> </w:t>
      </w:r>
      <w:r>
        <w:t xml:space="preserve">75%.</w:t>
      </w:r>
    </w:p>
    <w:p>
      <w:pPr>
        <w:numPr>
          <w:ilvl w:val="0"/>
          <w:numId w:val="1010"/>
        </w:numPr>
        <w:pStyle w:val="Compact"/>
      </w:pPr>
      <w:r>
        <w:rPr>
          <w:bCs/>
          <w:b/>
        </w:rPr>
        <w:t xml:space="preserve">Circular/Take-back Programs:</w:t>
      </w:r>
      <w:r>
        <w:t xml:space="preserve"> </w:t>
      </w:r>
      <w:r>
        <w:t xml:space="preserve">Yes, actively managed through partnerships.</w:t>
      </w:r>
    </w:p>
    <w:bookmarkEnd w:id="34"/>
    <w:bookmarkStart w:id="35" w:name="X431f091802f7537543711e7b41de16124ffd958"/>
    <w:p>
      <w:pPr>
        <w:pStyle w:val="Heading3"/>
      </w:pPr>
      <w:r>
        <w:t xml:space="preserve">3.6. Emission Factors (Illustrative &amp; Secondary Data)</w:t>
      </w:r>
    </w:p>
    <w:p>
      <w:pPr>
        <w:pStyle w:val="FirstParagraph"/>
      </w:pPr>
      <w:r>
        <w:t xml:space="preserve">For calculations, industry-standard emission factors from reputable sources (where specific factors were not provided) were used. These are indicative and represent generally accepted averages:</w:t>
      </w:r>
    </w:p>
    <w:p>
      <w:pPr>
        <w:numPr>
          <w:ilvl w:val="0"/>
          <w:numId w:val="1011"/>
        </w:numPr>
        <w:pStyle w:val="Compact"/>
      </w:pPr>
      <w:r>
        <w:rPr>
          <w:bCs/>
          <w:b/>
        </w:rPr>
        <w:t xml:space="preserve">China Electricity Grid Mix (2023 average for non-renewable portion):</w:t>
      </w:r>
      <w:r>
        <w:t xml:space="preserve"> </w:t>
      </w:r>
      <w:r>
        <w:t xml:space="preserve">0.581 kg CO2e/kWh.</w:t>
      </w:r>
    </w:p>
    <w:p>
      <w:pPr>
        <w:numPr>
          <w:ilvl w:val="0"/>
          <w:numId w:val="1011"/>
        </w:numPr>
        <w:pStyle w:val="Compact"/>
      </w:pPr>
      <w:r>
        <w:rPr>
          <w:bCs/>
          <w:b/>
        </w:rPr>
        <w:t xml:space="preserve">Heavy Duty Truck Transport:</w:t>
      </w:r>
      <w:r>
        <w:t xml:space="preserve"> </w:t>
      </w:r>
      <w:r>
        <w:t xml:space="preserve">0.07392 kg CO2e/tonne-km (approx. 0.00007392 kg CO2e/kg-km).</w:t>
      </w:r>
    </w:p>
    <w:p>
      <w:pPr>
        <w:numPr>
          <w:ilvl w:val="0"/>
          <w:numId w:val="1011"/>
        </w:numPr>
        <w:pStyle w:val="Compact"/>
      </w:pPr>
      <w:r>
        <w:rPr>
          <w:bCs/>
          <w:b/>
        </w:rPr>
        <w:t xml:space="preserve">Parcel Van Transport (Last-Mile):</w:t>
      </w:r>
      <w:r>
        <w:t xml:space="preserve"> </w:t>
      </w:r>
      <w:r>
        <w:t xml:space="preserve">0.3 kg CO2e/tonne-km (approx. 0.0003 kg CO2e/kg-km). (Illustrative, assumed higher due to lower load factors and frequent stops compared to long-haul freight).</w:t>
      </w:r>
    </w:p>
    <w:p>
      <w:pPr>
        <w:numPr>
          <w:ilvl w:val="0"/>
          <w:numId w:val="1011"/>
        </w:numPr>
        <w:pStyle w:val="Compact"/>
      </w:pPr>
      <w:r>
        <w:rPr>
          <w:bCs/>
          <w:b/>
        </w:rPr>
        <w:t xml:space="preserve">End-of-Life (Landfill/Incineration for non-recycled waste):</w:t>
      </w:r>
      <w:r>
        <w:t xml:space="preserve"> </w:t>
      </w:r>
      <w:r>
        <w:t xml:space="preserve">0.5 kg CO2e/kg (Illustrative average for mixed waste streams).</w:t>
      </w:r>
    </w:p>
    <w:p>
      <w:pPr>
        <w:numPr>
          <w:ilvl w:val="0"/>
          <w:numId w:val="1011"/>
        </w:numPr>
        <w:pStyle w:val="Compact"/>
      </w:pPr>
      <w:r>
        <w:rPr>
          <w:bCs/>
          <w:b/>
        </w:rPr>
        <w:t xml:space="preserve">Recycling Credit (Avoided virgin material production):</w:t>
      </w:r>
      <w:r>
        <w:t xml:space="preserve"> </w:t>
      </w:r>
      <w:r>
        <w:t xml:space="preserve">For materials recycled, a credit representing 60% of the virgin material\'s emission factor is applied to account for avoided emissions from virgin production. This is an illustrative assumption based on documented savings from recycling various materials.</w:t>
      </w:r>
    </w:p>
    <w:p>
      <w:r>
        <w:pict>
          <v:rect style="width:0;height:1.5pt" o:hralign="center" o:hrstd="t" o:hr="t"/>
        </w:pict>
      </w:r>
    </w:p>
    <w:bookmarkEnd w:id="35"/>
    <w:bookmarkEnd w:id="36"/>
    <w:bookmarkStart w:id="48" w:name="Xb404f6bea4a0013006ec7a9103609d9ea6643c1"/>
    <w:p>
      <w:pPr>
        <w:pStyle w:val="Heading2"/>
      </w:pPr>
      <w:r>
        <w:t xml:space="preserve">4. Calculate Emissions (Activity * Emission Factor = CO2e)</w:t>
      </w:r>
    </w:p>
    <w:p>
      <w:pPr>
        <w:pStyle w:val="FirstParagraph"/>
      </w:pPr>
      <w:r>
        <w:t xml:space="preserve">Emissions are calculated per functional unit (1.0 unit of xvjdusftps) and categorized according to the GHG Protocol.</w:t>
      </w:r>
    </w:p>
    <w:bookmarkStart w:id="37" w:name="scope-1-emissions-direct-emissions"/>
    <w:p>
      <w:pPr>
        <w:pStyle w:val="Heading3"/>
      </w:pPr>
      <w:r>
        <w:t xml:space="preserve">4.1. Scope 1 Emissions (Direct Emissions)</w:t>
      </w:r>
    </w:p>
    <w:p>
      <w:pPr>
        <w:pStyle w:val="FirstParagraph"/>
      </w:pPr>
      <w:r>
        <w:t xml:space="preserve">Based on the provided parameters, direct emissions from company-owned or controlled sources (e.g., combustion of fuel in owned vehicles, emissions from company facilities not from purchased energy) are considered negligible or not explicitly quantified within the provided data for the product manufacturing process itself. For a full organizational footprint, these would be detailed.</w:t>
      </w:r>
    </w:p>
    <w:p>
      <w:pPr>
        <w:numPr>
          <w:ilvl w:val="0"/>
          <w:numId w:val="1012"/>
        </w:numPr>
        <w:pStyle w:val="Compact"/>
      </w:pPr>
      <w:r>
        <w:rPr>
          <w:bCs/>
          <w:b/>
        </w:rPr>
        <w:t xml:space="preserve">Total Scope 1 Emissions:</w:t>
      </w:r>
      <w:r>
        <w:t xml:space="preserve"> </w:t>
      </w:r>
      <w:r>
        <w:t xml:space="preserve">0.0 kg CO2e</w:t>
      </w:r>
    </w:p>
    <w:bookmarkEnd w:id="37"/>
    <w:bookmarkStart w:id="38" w:name="scope-2-emissions-purchased-energy"/>
    <w:p>
      <w:pPr>
        <w:pStyle w:val="Heading3"/>
      </w:pPr>
      <w:r>
        <w:t xml:space="preserve">4.2. Scope 2 Emissions (Purchased Energy)</w:t>
      </w:r>
    </w:p>
    <w:p>
      <w:pPr>
        <w:pStyle w:val="FirstParagraph"/>
      </w:pPr>
      <w:r>
        <w:t xml:space="preserve">These emissions arise from the generation of purchased electricity for the manufacturing process.</w:t>
      </w:r>
    </w:p>
    <w:p>
      <w:pPr>
        <w:numPr>
          <w:ilvl w:val="0"/>
          <w:numId w:val="1013"/>
        </w:numPr>
        <w:pStyle w:val="Compact"/>
      </w:pPr>
      <w:r>
        <w:t xml:space="preserve">Total Energy Consumption in Production: 25 kWh/unit</w:t>
      </w:r>
    </w:p>
    <w:p>
      <w:pPr>
        <w:numPr>
          <w:ilvl w:val="0"/>
          <w:numId w:val="1013"/>
        </w:numPr>
        <w:pStyle w:val="Compact"/>
      </w:pPr>
      <w:r>
        <w:t xml:space="preserve">Renewable Energy Usage: 60% (0.60 * 25 kWh = 15 kWh renewable, 0 kg CO2e)</w:t>
      </w:r>
    </w:p>
    <w:p>
      <w:pPr>
        <w:numPr>
          <w:ilvl w:val="0"/>
          <w:numId w:val="1013"/>
        </w:numPr>
        <w:pStyle w:val="Compact"/>
      </w:pPr>
      <w:r>
        <w:t xml:space="preserve">Non-Renewable Energy (Grid): 40% (0.40 * 25 kWh = 10 kWh from grid)</w:t>
      </w:r>
    </w:p>
    <w:p>
      <w:pPr>
        <w:numPr>
          <w:ilvl w:val="0"/>
          <w:numId w:val="1013"/>
        </w:numPr>
        <w:pStyle w:val="Compact"/>
      </w:pPr>
      <w:r>
        <w:t xml:space="preserve">China Grid Emission Factor: 0.581 kg CO2e/kWh</w:t>
      </w:r>
    </w:p>
    <w:p>
      <w:pPr>
        <w:numPr>
          <w:ilvl w:val="0"/>
          <w:numId w:val="1013"/>
        </w:numPr>
        <w:pStyle w:val="Compact"/>
      </w:pPr>
      <w:r>
        <w:rPr>
          <w:bCs/>
          <w:b/>
        </w:rPr>
        <w:t xml:space="preserve">Scope 2 Emissions =</w:t>
      </w:r>
      <w:r>
        <w:t xml:space="preserve"> </w:t>
      </w:r>
      <w:r>
        <w:t xml:space="preserve">10 kWh/unit * 0.581 kg CO2e/kWh =</w:t>
      </w:r>
      <w:r>
        <w:t xml:space="preserve"> </w:t>
      </w:r>
      <w:r>
        <w:rPr>
          <w:bCs/>
          <w:b/>
        </w:rPr>
        <w:t xml:space="preserve">5.81 kg CO2e/unit</w:t>
      </w:r>
    </w:p>
    <w:bookmarkEnd w:id="38"/>
    <w:bookmarkStart w:id="44" w:name="scope-3-emissions-value-chain"/>
    <w:p>
      <w:pPr>
        <w:pStyle w:val="Heading3"/>
      </w:pPr>
      <w:r>
        <w:t xml:space="preserve">4.3. Scope 3 Emissions (Value Chain)</w:t>
      </w:r>
    </w:p>
    <w:p>
      <w:pPr>
        <w:pStyle w:val="FirstParagraph"/>
      </w:pPr>
      <w:r>
        <w:t xml:space="preserve">Scope 3 emissions are calculated across relevant categories:</w:t>
      </w:r>
    </w:p>
    <w:bookmarkStart w:id="39" w:name="X1822d6d1a3687de26ce8e9c97c732ba165d99d7"/>
    <w:p>
      <w:pPr>
        <w:pStyle w:val="Heading4"/>
      </w:pPr>
      <w:r>
        <w:t xml:space="preserve">4.3.1. Category 1: Upstream Raw Material &amp; Component Production</w:t>
      </w:r>
    </w:p>
    <w:p>
      <w:pPr>
        <w:pStyle w:val="FirstParagraph"/>
      </w:pPr>
      <w:r>
        <w:t xml:space="preserve">Calculated directly from the provided \'Total Carbon\' values in the Detailed Bill of Materials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3.5</w:t>
            </w:r>
          </w:p>
        </w:tc>
      </w:tr>
      <w:tr>
        <w:tc>
          <w:tcPr/>
          <w:p>
            <w:pPr>
              <w:pStyle w:val="Compact"/>
              <w:jc w:val="left"/>
            </w:pPr>
            <w:r>
              <w:t xml:space="preserve">ABS Plastic Housing</w:t>
            </w:r>
          </w:p>
        </w:tc>
        <w:tc>
          <w:tcPr/>
          <w:p>
            <w:pPr>
              <w:pStyle w:val="Compact"/>
              <w:jc w:val="left"/>
            </w:pPr>
            <w:r>
              <w:t xml:space="preserve">0.5</w:t>
            </w:r>
          </w:p>
        </w:tc>
      </w:tr>
      <w:tr>
        <w:tc>
          <w:tcPr/>
          <w:p>
            <w:pPr>
              <w:pStyle w:val="Compact"/>
              <w:jc w:val="left"/>
            </w:pPr>
            <w:r>
              <w:t xml:space="preserve">Circuit Board</w:t>
            </w:r>
          </w:p>
        </w:tc>
        <w:tc>
          <w:tcPr/>
          <w:p>
            <w:pPr>
              <w:pStyle w:val="Compact"/>
              <w:jc w:val="left"/>
            </w:pPr>
            <w:r>
              <w:t xml:space="preserve">5.0</w:t>
            </w:r>
          </w:p>
        </w:tc>
      </w:tr>
      <w:tr>
        <w:tc>
          <w:tcPr/>
          <w:p>
            <w:pPr>
              <w:pStyle w:val="Compact"/>
              <w:jc w:val="left"/>
            </w:pPr>
            <w:r>
              <w:t xml:space="preserve">Packaging (Cardboard)</w:t>
            </w:r>
          </w:p>
        </w:tc>
        <w:tc>
          <w:tcPr/>
          <w:p>
            <w:pPr>
              <w:pStyle w:val="Compact"/>
              <w:jc w:val="left"/>
            </w:pPr>
            <w:r>
              <w:t xml:space="preserve">0.1</w:t>
            </w:r>
          </w:p>
        </w:tc>
      </w:tr>
      <w:tr>
        <w:tc>
          <w:tcPr/>
          <w:p>
            <w:pPr>
              <w:pStyle w:val="Compact"/>
              <w:jc w:val="left"/>
            </w:pPr>
            <w:r>
              <w:rPr>
                <w:bCs/>
                <w:b/>
              </w:rPr>
              <w:t xml:space="preserve">Subtotal Raw Materials</w:t>
            </w:r>
          </w:p>
        </w:tc>
        <w:tc>
          <w:tcPr/>
          <w:p>
            <w:pPr>
              <w:pStyle w:val="Compact"/>
              <w:jc w:val="left"/>
            </w:pPr>
            <w:r>
              <w:rPr>
                <w:bCs/>
                <w:b/>
              </w:rPr>
              <w:t xml:space="preserve">9.1 kg CO2e</w:t>
            </w:r>
          </w:p>
        </w:tc>
      </w:tr>
    </w:tbl>
    <w:p>
      <w:pPr>
        <w:numPr>
          <w:ilvl w:val="0"/>
          <w:numId w:val="1014"/>
        </w:numPr>
        <w:pStyle w:val="Compact"/>
      </w:pPr>
      <w:r>
        <w:rPr>
          <w:bCs/>
          <w:b/>
        </w:rPr>
        <w:t xml:space="preserve">Total Scope 3, Category 1 Emissions:</w:t>
      </w:r>
      <w:r>
        <w:t xml:space="preserve"> </w:t>
      </w:r>
      <w:r>
        <w:t xml:space="preserve">9.1 kg CO2e/unit</w:t>
      </w:r>
    </w:p>
    <w:bookmarkEnd w:id="39"/>
    <w:bookmarkStart w:id="40" w:name="X6669a43143349c25ec93e775eebde43de53a73c"/>
    <w:p>
      <w:pPr>
        <w:pStyle w:val="Heading4"/>
      </w:pPr>
      <w:r>
        <w:t xml:space="preserve">4.3.2. Category 4: Upstream Transportation and Distribution</w:t>
      </w:r>
    </w:p>
    <w:p>
      <w:pPr>
        <w:pStyle w:val="FirstParagraph"/>
      </w:pPr>
      <w:r>
        <w:t xml:space="preserve">Transport of materials to the manufacturing facility.</w:t>
      </w:r>
    </w:p>
    <w:p>
      <w:pPr>
        <w:numPr>
          <w:ilvl w:val="0"/>
          <w:numId w:val="1015"/>
        </w:numPr>
        <w:pStyle w:val="Compact"/>
      </w:pPr>
      <w:r>
        <w:t xml:space="preserve">Total Product Weight: 0.9 kg/unit</w:t>
      </w:r>
    </w:p>
    <w:p>
      <w:pPr>
        <w:numPr>
          <w:ilvl w:val="0"/>
          <w:numId w:val="1015"/>
        </w:numPr>
        <w:pStyle w:val="Compact"/>
      </w:pPr>
      <w:r>
        <w:t xml:space="preserve">Transport Mode: Heavy Duty Truck</w:t>
      </w:r>
    </w:p>
    <w:p>
      <w:pPr>
        <w:numPr>
          <w:ilvl w:val="0"/>
          <w:numId w:val="1015"/>
        </w:numPr>
        <w:pStyle w:val="Compact"/>
      </w:pPr>
      <w:r>
        <w:t xml:space="preserve">Transport Distance: 1500 km</w:t>
      </w:r>
    </w:p>
    <w:p>
      <w:pPr>
        <w:numPr>
          <w:ilvl w:val="0"/>
          <w:numId w:val="1015"/>
        </w:numPr>
        <w:pStyle w:val="Compact"/>
      </w:pPr>
      <w:r>
        <w:t xml:space="preserve">Truck Emission Factor: 0.00007392 kg CO2e/kg-km</w:t>
      </w:r>
    </w:p>
    <w:p>
      <w:pPr>
        <w:numPr>
          <w:ilvl w:val="0"/>
          <w:numId w:val="1015"/>
        </w:numPr>
        <w:pStyle w:val="Compact"/>
      </w:pPr>
      <w:r>
        <w:rPr>
          <w:bCs/>
          <w:b/>
        </w:rPr>
        <w:t xml:space="preserve">Upstream Transport Emissions =</w:t>
      </w:r>
      <w:r>
        <w:t xml:space="preserve"> </w:t>
      </w:r>
      <w:r>
        <w:t xml:space="preserve">0.9 kg/unit * 1500 km * 0.00007392 kg CO2e/kg-km =</w:t>
      </w:r>
      <w:r>
        <w:t xml:space="preserve"> </w:t>
      </w:r>
      <w:r>
        <w:rPr>
          <w:bCs/>
          <w:b/>
        </w:rPr>
        <w:t xml:space="preserve">0.0998 kg CO2e/unit</w:t>
      </w:r>
    </w:p>
    <w:p>
      <w:pPr>
        <w:numPr>
          <w:ilvl w:val="0"/>
          <w:numId w:val="1016"/>
        </w:numPr>
        <w:pStyle w:val="Compact"/>
      </w:pPr>
      <w:r>
        <w:rPr>
          <w:bCs/>
          <w:b/>
        </w:rPr>
        <w:t xml:space="preserve">Total Scope 3, Category 4 Emissions:</w:t>
      </w:r>
      <w:r>
        <w:t xml:space="preserve"> </w:t>
      </w:r>
      <w:r>
        <w:t xml:space="preserve">0.0998 kg CO2e/unit</w:t>
      </w:r>
    </w:p>
    <w:bookmarkEnd w:id="40"/>
    <w:bookmarkStart w:id="41" w:name="X5b70aafc99c239c9cc973ef0b16df8b4bae845d"/>
    <w:p>
      <w:pPr>
        <w:pStyle w:val="Heading4"/>
      </w:pPr>
      <w:r>
        <w:t xml:space="preserve">4.3.3. Category 9: Downstream Transportation and Distribution (Last-Mile)</w:t>
      </w:r>
    </w:p>
    <w:p>
      <w:pPr>
        <w:pStyle w:val="FirstParagraph"/>
      </w:pPr>
      <w:r>
        <w:t xml:space="preserve">Last-mile delivery to the customer.</w:t>
      </w:r>
    </w:p>
    <w:p>
      <w:pPr>
        <w:numPr>
          <w:ilvl w:val="0"/>
          <w:numId w:val="1017"/>
        </w:numPr>
        <w:pStyle w:val="Compact"/>
      </w:pPr>
      <w:r>
        <w:t xml:space="preserve">Total Product Weight: 0.9 kg/unit</w:t>
      </w:r>
    </w:p>
    <w:p>
      <w:pPr>
        <w:numPr>
          <w:ilvl w:val="0"/>
          <w:numId w:val="1017"/>
        </w:numPr>
        <w:pStyle w:val="Compact"/>
      </w:pPr>
      <w:r>
        <w:t xml:space="preserve">Last-Mile Delivery Channel: Parcel Van</w:t>
      </w:r>
    </w:p>
    <w:p>
      <w:pPr>
        <w:numPr>
          <w:ilvl w:val="0"/>
          <w:numId w:val="1017"/>
        </w:numPr>
        <w:pStyle w:val="Compact"/>
      </w:pPr>
      <w:r>
        <w:t xml:space="preserve">Last-Mile Distance: 50 km</w:t>
      </w:r>
    </w:p>
    <w:p>
      <w:pPr>
        <w:numPr>
          <w:ilvl w:val="0"/>
          <w:numId w:val="1017"/>
        </w:numPr>
        <w:pStyle w:val="Compact"/>
      </w:pPr>
      <w:r>
        <w:t xml:space="preserve">Parcel Van Emission Factor: 0.0003 kg CO2e/kg-km (Illustrative)</w:t>
      </w:r>
    </w:p>
    <w:p>
      <w:pPr>
        <w:numPr>
          <w:ilvl w:val="0"/>
          <w:numId w:val="1017"/>
        </w:numPr>
        <w:pStyle w:val="Compact"/>
      </w:pPr>
      <w:r>
        <w:rPr>
          <w:bCs/>
          <w:b/>
        </w:rPr>
        <w:t xml:space="preserve">Downstream Last-Mile Transport Emissions =</w:t>
      </w:r>
      <w:r>
        <w:t xml:space="preserve"> </w:t>
      </w:r>
      <w:r>
        <w:t xml:space="preserve">0.9 kg/unit * 50 km * 0.0003 kg CO2e/kg-km =</w:t>
      </w:r>
      <w:r>
        <w:t xml:space="preserve"> </w:t>
      </w:r>
      <w:r>
        <w:rPr>
          <w:bCs/>
          <w:b/>
        </w:rPr>
        <w:t xml:space="preserve">0.0135 kg CO2e/unit</w:t>
      </w:r>
    </w:p>
    <w:p>
      <w:pPr>
        <w:numPr>
          <w:ilvl w:val="0"/>
          <w:numId w:val="1018"/>
        </w:numPr>
        <w:pStyle w:val="Compact"/>
      </w:pPr>
      <w:r>
        <w:rPr>
          <w:bCs/>
          <w:b/>
        </w:rPr>
        <w:t xml:space="preserve">Total Scope 3, Category 9 Emissions:</w:t>
      </w:r>
      <w:r>
        <w:t xml:space="preserve"> </w:t>
      </w:r>
      <w:r>
        <w:t xml:space="preserve">0.0135 kg CO2e/unit</w:t>
      </w:r>
    </w:p>
    <w:bookmarkEnd w:id="41"/>
    <w:bookmarkStart w:id="42" w:name="category-11-use-of-sold-products"/>
    <w:p>
      <w:pPr>
        <w:pStyle w:val="Heading4"/>
      </w:pPr>
      <w:r>
        <w:t xml:space="preserve">4.3.4. Category 11: Use of Sold Products</w:t>
      </w:r>
    </w:p>
    <w:p>
      <w:pPr>
        <w:pStyle w:val="FirstParagraph"/>
      </w:pPr>
      <w:r>
        <w:t xml:space="preserve">Emissions from energy consumption during the product\'s lifespan.</w:t>
      </w:r>
    </w:p>
    <w:p>
      <w:pPr>
        <w:numPr>
          <w:ilvl w:val="0"/>
          <w:numId w:val="1019"/>
        </w:numPr>
        <w:pStyle w:val="Compact"/>
      </w:pPr>
      <w:r>
        <w:t xml:space="preserve">Product Lifespan: 7 years</w:t>
      </w:r>
    </w:p>
    <w:p>
      <w:pPr>
        <w:numPr>
          <w:ilvl w:val="0"/>
          <w:numId w:val="1019"/>
        </w:numPr>
        <w:pStyle w:val="Compact"/>
      </w:pPr>
      <w:r>
        <w:t xml:space="preserve">Energy Consumption in Use: 10 kWh/year</w:t>
      </w:r>
    </w:p>
    <w:p>
      <w:pPr>
        <w:numPr>
          <w:ilvl w:val="0"/>
          <w:numId w:val="1019"/>
        </w:numPr>
        <w:pStyle w:val="Compact"/>
      </w:pPr>
      <w:r>
        <w:t xml:space="preserve">Electricity Source: Assume average consumer grid mix for China, 0.581 kg CO2e/kWh</w:t>
      </w:r>
    </w:p>
    <w:p>
      <w:pPr>
        <w:numPr>
          <w:ilvl w:val="0"/>
          <w:numId w:val="1019"/>
        </w:numPr>
        <w:pStyle w:val="Compact"/>
      </w:pPr>
      <w:r>
        <w:rPr>
          <w:bCs/>
          <w:b/>
        </w:rPr>
        <w:t xml:space="preserve">Use Phase Emissions =</w:t>
      </w:r>
      <w:r>
        <w:t xml:space="preserve"> </w:t>
      </w:r>
      <w:r>
        <w:t xml:space="preserve">7 years * 10 kWh/year * 0.581 kg CO2e/kWh =</w:t>
      </w:r>
      <w:r>
        <w:t xml:space="preserve"> </w:t>
      </w:r>
      <w:r>
        <w:rPr>
          <w:bCs/>
          <w:b/>
        </w:rPr>
        <w:t xml:space="preserve">40.67 kg CO2e/unit</w:t>
      </w:r>
    </w:p>
    <w:p>
      <w:pPr>
        <w:numPr>
          <w:ilvl w:val="0"/>
          <w:numId w:val="1020"/>
        </w:numPr>
        <w:pStyle w:val="Compact"/>
      </w:pPr>
      <w:r>
        <w:rPr>
          <w:bCs/>
          <w:b/>
        </w:rPr>
        <w:t xml:space="preserve">Total Scope 3, Category 11 Emissions:</w:t>
      </w:r>
      <w:r>
        <w:t xml:space="preserve"> </w:t>
      </w:r>
      <w:r>
        <w:t xml:space="preserve">40.67 kg CO2e/unit</w:t>
      </w:r>
    </w:p>
    <w:bookmarkEnd w:id="42"/>
    <w:bookmarkStart w:id="43" w:name="X9f66eef2700632e081dfe139021cb724ffcd2c5"/>
    <w:p>
      <w:pPr>
        <w:pStyle w:val="Heading4"/>
      </w:pPr>
      <w:r>
        <w:t xml:space="preserve">4.3.5. Category 12: End-of-Life Treatment of Sold Products</w:t>
      </w:r>
    </w:p>
    <w:p>
      <w:pPr>
        <w:pStyle w:val="FirstParagraph"/>
      </w:pPr>
      <w:r>
        <w:t xml:space="preserve">Emissions and avoided emissions from disposal and recycling.</w:t>
      </w:r>
    </w:p>
    <w:p>
      <w:pPr>
        <w:numPr>
          <w:ilvl w:val="0"/>
          <w:numId w:val="1021"/>
        </w:numPr>
        <w:pStyle w:val="Compact"/>
      </w:pPr>
      <w:r>
        <w:t xml:space="preserve">Total Product Weight: 0.9 kg/unit</w:t>
      </w:r>
    </w:p>
    <w:p>
      <w:pPr>
        <w:numPr>
          <w:ilvl w:val="0"/>
          <w:numId w:val="1021"/>
        </w:numPr>
        <w:pStyle w:val="Compact"/>
      </w:pPr>
      <w:r>
        <w:t xml:space="preserve">Recyclability Percentage: 75%</w:t>
      </w:r>
    </w:p>
    <w:p>
      <w:pPr>
        <w:numPr>
          <w:ilvl w:val="0"/>
          <w:numId w:val="1021"/>
        </w:numPr>
        <w:pStyle w:val="Compact"/>
      </w:pPr>
      <w:r>
        <w:t xml:space="preserve">Non-Recycled Waste: 25% (0.25 * 0.9 kg = 0.225 kg)</w:t>
      </w:r>
    </w:p>
    <w:p>
      <w:pPr>
        <w:numPr>
          <w:ilvl w:val="0"/>
          <w:numId w:val="1021"/>
        </w:numPr>
        <w:pStyle w:val="Compact"/>
      </w:pPr>
      <w:r>
        <w:t xml:space="preserve">Recycled Portion: 75% (0.75 * 0.9 kg = 0.675 kg)</w:t>
      </w:r>
    </w:p>
    <w:p>
      <w:pPr>
        <w:numPr>
          <w:ilvl w:val="0"/>
          <w:numId w:val="1021"/>
        </w:numPr>
        <w:pStyle w:val="Compact"/>
      </w:pPr>
      <w:r>
        <w:t xml:space="preserve">EoL Emission Factor (Non-Recycled): 0.5 kg CO2e/kg (Illustrative)</w:t>
      </w:r>
    </w:p>
    <w:p>
      <w:pPr>
        <w:numPr>
          <w:ilvl w:val="0"/>
          <w:numId w:val="1021"/>
        </w:numPr>
        <w:pStyle w:val="Compact"/>
      </w:pPr>
      <w:r>
        <w:t xml:space="preserve">Recycling Credit (Avoided Emissions): Average 60% of virgin material EF for the recycled portion. This requires summing the virgin EF for the recycled portion. Given the BOM, total virgin material EF for the 0.9 kg is 9.1 kg CO2e.</w:t>
      </w:r>
      <w:r>
        <w:t xml:space="preserve"> </w:t>
      </w:r>
      <w:r>
        <w:t xml:space="preserve">* Virgin EF/kg = 9.1 kg CO2e / 0.9 kg = 10.11 kg CO2e/kg (average)</w:t>
      </w:r>
      <w:r>
        <w:t xml:space="preserve"> </w:t>
      </w:r>
      <w:r>
        <w:t xml:space="preserve">* Avoided Emissions from Recycling = 0.675 kg * 10.11 kg CO2e/kg * 0.60 = 4.09 kg CO2e avoided.</w:t>
      </w:r>
    </w:p>
    <w:p>
      <w:pPr>
        <w:numPr>
          <w:ilvl w:val="0"/>
          <w:numId w:val="1021"/>
        </w:numPr>
        <w:pStyle w:val="Compact"/>
      </w:pPr>
      <w:r>
        <w:rPr>
          <w:bCs/>
          <w:b/>
        </w:rPr>
        <w:t xml:space="preserve">EoL Emissions (Non-Recycled) =</w:t>
      </w:r>
      <w:r>
        <w:t xml:space="preserve"> </w:t>
      </w:r>
      <w:r>
        <w:t xml:space="preserve">0.225 kg * 0.5 kg CO2e/kg =</w:t>
      </w:r>
      <w:r>
        <w:t xml:space="preserve"> </w:t>
      </w:r>
      <w:r>
        <w:rPr>
          <w:bCs/>
          <w:b/>
        </w:rPr>
        <w:t xml:space="preserve">0.1125 kg CO2e/unit</w:t>
      </w:r>
    </w:p>
    <w:p>
      <w:pPr>
        <w:numPr>
          <w:ilvl w:val="0"/>
          <w:numId w:val="1021"/>
        </w:numPr>
        <w:pStyle w:val="Compact"/>
      </w:pPr>
      <w:r>
        <w:rPr>
          <w:bCs/>
          <w:b/>
        </w:rPr>
        <w:t xml:space="preserve">EoL Recycling Credit =</w:t>
      </w:r>
      <w:r>
        <w:t xml:space="preserve"> </w:t>
      </w:r>
      <w:r>
        <w:t xml:space="preserve">-4.09 kg CO2e/unit</w:t>
      </w:r>
    </w:p>
    <w:p>
      <w:pPr>
        <w:numPr>
          <w:ilvl w:val="0"/>
          <w:numId w:val="1021"/>
        </w:numPr>
        <w:pStyle w:val="Compact"/>
      </w:pPr>
      <w:r>
        <w:rPr>
          <w:bCs/>
          <w:b/>
        </w:rPr>
        <w:t xml:space="preserve">Net EoL Emissions =</w:t>
      </w:r>
      <w:r>
        <w:t xml:space="preserve"> </w:t>
      </w:r>
      <w:r>
        <w:t xml:space="preserve">0.1125 - 4.09 =</w:t>
      </w:r>
      <w:r>
        <w:t xml:space="preserve"> </w:t>
      </w:r>
      <w:r>
        <w:rPr>
          <w:bCs/>
          <w:b/>
        </w:rPr>
        <w:t xml:space="preserve">-3.9775 kg CO2e/unit</w:t>
      </w:r>
      <w:r>
        <w:t xml:space="preserve"> </w:t>
      </w:r>
      <w:r>
        <w:t xml:space="preserve">(Net credit due to high recyclability and circular programs)</w:t>
      </w:r>
    </w:p>
    <w:p>
      <w:pPr>
        <w:numPr>
          <w:ilvl w:val="0"/>
          <w:numId w:val="1022"/>
        </w:numPr>
        <w:pStyle w:val="Compact"/>
      </w:pPr>
      <w:r>
        <w:rPr>
          <w:bCs/>
          <w:b/>
        </w:rPr>
        <w:t xml:space="preserve">Total Scope 3, Category 12 Emissions:</w:t>
      </w:r>
      <w:r>
        <w:t xml:space="preserve"> </w:t>
      </w:r>
      <w:r>
        <w:t xml:space="preserve">-3.9775 kg CO2e/unit</w:t>
      </w:r>
    </w:p>
    <w:bookmarkEnd w:id="43"/>
    <w:bookmarkEnd w:id="44"/>
    <w:bookmarkStart w:id="45"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 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(negligible)</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5.81</w:t>
            </w:r>
          </w:p>
        </w:tc>
      </w:tr>
      <w:tr>
        <w:tc>
          <w:tcPr>
            <w:vMerge w:val="restart"/>
          </w:tcPr>
          <w:p>
            <w:pPr>
              <w:pStyle w:val="Compact"/>
              <w:jc w:val="left"/>
            </w:pPr>
            <w:r>
              <w:t xml:space="preserve">Scope 3</w:t>
            </w:r>
          </w:p>
        </w:tc>
        <w:tc>
          <w:tcPr/>
          <w:p>
            <w:pPr>
              <w:pStyle w:val="Compact"/>
              <w:jc w:val="left"/>
            </w:pPr>
            <w:r>
              <w:t xml:space="preserve">Category 1: Raw Material Acquisition &amp; Processing</w:t>
            </w:r>
          </w:p>
        </w:tc>
        <w:tc>
          <w:tcPr/>
          <w:p>
            <w:pPr>
              <w:pStyle w:val="Compact"/>
              <w:jc w:val="left"/>
            </w:pPr>
            <w:r>
              <w:t xml:space="preserve">9.1</w:t>
            </w:r>
          </w:p>
        </w:tc>
      </w:tr>
      <w:tr>
        <w:tc>
          <w:tcPr>
            <w:gridSpan w:val="1"/>
            <w:vMerge w:val="continue"/>
          </w:tcPr>
          <w:p>
            <w:pPr/>
          </w:p>
        </w:tc>
        <w:tc>
          <w:tcPr/>
          <w:p>
            <w:pPr>
              <w:pStyle w:val="Compact"/>
              <w:jc w:val="left"/>
            </w:pPr>
            <w:r>
              <w:t xml:space="preserve">Category 4: Upstream Transportation</w:t>
            </w:r>
          </w:p>
        </w:tc>
        <w:tc>
          <w:tcPr/>
          <w:p>
            <w:pPr>
              <w:pStyle w:val="Compact"/>
              <w:jc w:val="left"/>
            </w:pPr>
            <w:r>
              <w:t xml:space="preserve">0.0998</w:t>
            </w:r>
          </w:p>
        </w:tc>
      </w:tr>
      <w:tr>
        <w:tc>
          <w:tcPr>
            <w:gridSpan w:val="1"/>
            <w:vMerge w:val="continue"/>
          </w:tcPr>
          <w:p>
            <w:pPr/>
          </w:p>
        </w:tc>
        <w:tc>
          <w:tcPr/>
          <w:p>
            <w:pPr>
              <w:pStyle w:val="Compact"/>
              <w:jc w:val="left"/>
            </w:pPr>
            <w:r>
              <w:t xml:space="preserve">Category 9: Downstream Transportation (Last-Mile)</w:t>
            </w:r>
          </w:p>
        </w:tc>
        <w:tc>
          <w:tcPr/>
          <w:p>
            <w:pPr>
              <w:pStyle w:val="Compact"/>
              <w:jc w:val="left"/>
            </w:pPr>
            <w:r>
              <w:t xml:space="preserve">0.0135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40.67</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-3.9775</w:t>
            </w:r>
          </w:p>
        </w:tc>
      </w:tr>
      <w:tr>
        <w:tc>
          <w:tcPr>
            <w:gridSpan w:val="2"/>
          </w:tcPr>
          <w:p>
            <w:pPr>
              <w:pStyle w:val="Compact"/>
              <w:jc w:val="left"/>
            </w:pPr>
            <w:r>
              <w:t xml:space="preserve">TOTAL PRODUCT CARBON FOOTPRINT (kg CO2e/unit)</w:t>
            </w:r>
          </w:p>
        </w:tc>
        <w:tc>
          <w:tcPr/>
          <w:p>
            <w:pPr>
              <w:pStyle w:val="Compact"/>
              <w:jc w:val="left"/>
            </w:pPr>
            <w:r>
              <w:t xml:space="preserve">51.7158</w:t>
            </w:r>
          </w:p>
        </w:tc>
      </w:tr>
    </w:tbl>
    <w:bookmarkEnd w:id="45"/>
    <w:bookmarkStart w:id="46" w:name="lsr-update-application"/>
    <w:p>
      <w:pPr>
        <w:pStyle w:val="Heading3"/>
      </w:pPr>
      <w:r>
        <w:t xml:space="preserve">4.5. 2026 LSR Update Application</w:t>
      </w:r>
    </w:p>
    <w:p>
      <w:pPr>
        <w:pStyle w:val="FirstParagraph"/>
      </w:pPr>
      <w:r>
        <w:t xml:space="preserve">The GHG Protocol\'s Land Sector and Removals (LSR) Standard was published on January 30, 2026, and becomes effective on January 1, 2027. This standard provides accounting requirements and guidance for entities with significant land sector activities and for reporting CO2 removals or CO2 capture with geologic storage. Accompanying guidance is expected in Q2 2026. For this product, xvjdusftps, direct land-use emissions are not a primary driver of its footprint, but the LSR standard would be critically important if the company</w:t>
      </w:r>
      <w:r>
        <w:t xml:space="preserve"> </w:t>
      </w:r>
      <w:r>
        <w:rPr>
          <w:bCs/>
          <w:b/>
        </w:rPr>
        <w:t xml:space="preserve">lrqtkxlhtg</w:t>
      </w:r>
      <w:r>
        <w:t xml:space="preserve"> </w:t>
      </w:r>
      <w:r>
        <w:t xml:space="preserve">had significant agricultural or forestry activities in its direct operations or supply chain for raw materials. The provided BOM does not indicate significant direct land-based materials beyond generic cardboard packaging. A full LSR assessment would require detailed data on land-use change, biogenic carbon, and any carbon removal activities associated with the supply chain. This report acknowledges the LSR Standard and its future applicability for more comprehensive land-related impacts.</w:t>
      </w:r>
    </w:p>
    <w:bookmarkEnd w:id="46"/>
    <w:bookmarkStart w:id="47" w:name="scope-3-compliance-2026-requirements"/>
    <w:p>
      <w:pPr>
        <w:pStyle w:val="Heading3"/>
      </w:pPr>
      <w:r>
        <w:t xml:space="preserve">4.6. Scope 3 Compliance (2026 Requirements)</w:t>
      </w:r>
    </w:p>
    <w:p>
      <w:pPr>
        <w:pStyle w:val="FirstParagraph"/>
      </w:pPr>
      <w:r>
        <w:t xml:space="preserve">The GHG Protocol\'s 2026 revisions to the Scope 3 Standard emphasize a mandatory</w:t>
      </w:r>
      <w:r>
        <w:t xml:space="preserve"> </w:t>
      </w:r>
      <w:r>
        <w:rPr>
          <w:bCs/>
          <w:b/>
        </w:rPr>
        <w:t xml:space="preserve">95% coverage floor</w:t>
      </w:r>
      <w:r>
        <w:t xml:space="preserve"> </w:t>
      </w:r>
      <w:r>
        <w:t xml:space="preserve">for all required Scope 3 emissions. This means that at least 95% of total relevant Scope 3 emissions must be accounted for to claim conformance. Exclusions must be quantified, disclosed, and justified if they fall within the permissible 5% margin. Furthermore, the updates propose mandatory data disaggregation by source type (primary vs. secondary) to improve transparency and data quality. This analysis aims for comprehensive coverage by including all major categories identified based on the provided data. Future reporting by</w:t>
      </w:r>
      <w:r>
        <w:t xml:space="preserve"> </w:t>
      </w:r>
      <w:r>
        <w:rPr>
          <w:bCs/>
          <w:b/>
        </w:rPr>
        <w:t xml:space="preserve">lrqtkxlhtg</w:t>
      </w:r>
      <w:r>
        <w:t xml:space="preserve"> </w:t>
      </w:r>
      <w:r>
        <w:t xml:space="preserve">will need to ensure rigorous data collection to meet this 95% threshold and disaggregate data by source type to maintain compliance with evolving GHG Protocol requirements. The new Category 16 for facilitated activities is also noted for future consideration.</w:t>
      </w:r>
    </w:p>
    <w:p>
      <w:r>
        <w:pict>
          <v:rect style="width:0;height:1.5pt" o:hralign="center" o:hrstd="t" o:hr="t"/>
        </w:pict>
      </w:r>
    </w:p>
    <w:bookmarkEnd w:id="47"/>
    <w:bookmarkEnd w:id="48"/>
    <w:bookmarkStart w:id="52" w:name="review-report-hotspots-and-reliability"/>
    <w:p>
      <w:pPr>
        <w:pStyle w:val="Heading2"/>
      </w:pPr>
      <w:r>
        <w:t xml:space="preserve">5. Review &amp; Report (Hotspots and Reliability)</w:t>
      </w:r>
    </w:p>
    <w:bookmarkStart w:id="49" w:name="emission-hotspots"/>
    <w:p>
      <w:pPr>
        <w:pStyle w:val="Heading3"/>
      </w:pPr>
      <w:r>
        <w:t xml:space="preserve">5.1. Emission Hotspots</w:t>
      </w:r>
    </w:p>
    <w:p>
      <w:pPr>
        <w:pStyle w:val="FirstParagraph"/>
      </w:pPr>
      <w:r>
        <w:t xml:space="preserve">The PCF analysis reveals the following emission hotspots for xvjdusftps:</w:t>
      </w:r>
    </w:p>
    <w:p>
      <w:pPr>
        <w:numPr>
          <w:ilvl w:val="0"/>
          <w:numId w:val="1023"/>
        </w:numPr>
        <w:pStyle w:val="Compact"/>
      </w:pPr>
      <w:r>
        <w:rPr>
          <w:bCs/>
          <w:b/>
        </w:rPr>
        <w:t xml:space="preserve">Use Phase (40.67 kg CO2e):</w:t>
      </w:r>
      <w:r>
        <w:t xml:space="preserve"> </w:t>
      </w:r>
      <w:r>
        <w:t xml:space="preserve">This is the most significant hotspot, accounting for approximately 78.6% of the total PCF. This is driven by the product\'s lifespan and annual energy consumption.</w:t>
      </w:r>
    </w:p>
    <w:p>
      <w:pPr>
        <w:numPr>
          <w:ilvl w:val="0"/>
          <w:numId w:val="1023"/>
        </w:numPr>
        <w:pStyle w:val="Compact"/>
      </w:pPr>
      <w:r>
        <w:rPr>
          <w:bCs/>
          <w:b/>
        </w:rPr>
        <w:t xml:space="preserve">Raw Material Acquisition &amp; Processing (9.1 kg CO2e):</w:t>
      </w:r>
      <w:r>
        <w:t xml:space="preserve"> </w:t>
      </w:r>
      <w:r>
        <w:t xml:space="preserve">This stage represents about 17.6% of the total footprint, highlighting the importance of material selection and upstream supply chain decarbonization. The Circuit Board (5.0 kg CO2e) and Aluminum Casing (3.5 kg CO2e) are major contributors within this category.</w:t>
      </w:r>
    </w:p>
    <w:p>
      <w:pPr>
        <w:numPr>
          <w:ilvl w:val="0"/>
          <w:numId w:val="1023"/>
        </w:numPr>
        <w:pStyle w:val="Compact"/>
      </w:pPr>
      <w:r>
        <w:rPr>
          <w:bCs/>
          <w:b/>
        </w:rPr>
        <w:t xml:space="preserve">Purchased Electricity (Production) (5.81 kg CO2e):</w:t>
      </w:r>
      <w:r>
        <w:t xml:space="preserve"> </w:t>
      </w:r>
      <w:r>
        <w:t xml:space="preserve">While 60% renewable energy is used, the remaining 40% from the grid in China still contributes significantly, representing about 11.2% of the total.</w:t>
      </w:r>
    </w:p>
    <w:p>
      <w:pPr>
        <w:numPr>
          <w:ilvl w:val="0"/>
          <w:numId w:val="1023"/>
        </w:numPr>
        <w:pStyle w:val="Compact"/>
      </w:pPr>
      <w:r>
        <w:rPr>
          <w:bCs/>
          <w:b/>
        </w:rPr>
        <w:t xml:space="preserve">End-of-Life Treatment (-3.9775 kg CO2e):</w:t>
      </w:r>
      <w:r>
        <w:t xml:space="preserve"> </w:t>
      </w:r>
      <w:r>
        <w:t xml:space="preserve">The strong recyclability and circular programs result in a net credit for this stage, effectively reducing the overall PCF. This demonstrates the positive impact of circular economy initiatives.</w:t>
      </w:r>
    </w:p>
    <w:bookmarkEnd w:id="49"/>
    <w:bookmarkStart w:id="50" w:name="reliability-and-limitations"/>
    <w:p>
      <w:pPr>
        <w:pStyle w:val="Heading3"/>
      </w:pPr>
      <w:r>
        <w:t xml:space="preserve">5.2. Reliability and Limitations</w:t>
      </w:r>
    </w:p>
    <w:p>
      <w:pPr>
        <w:pStyle w:val="FirstParagraph"/>
      </w:pPr>
      <w:r>
        <w:t xml:space="preserve">The reliability of this PCF is good, relying on specific primary data where provided (BOM, energy usage, lifespan) and robust secondary data from recognized sources for emission factors. However, it\'s important to note the following limitations:</w:t>
      </w:r>
    </w:p>
    <w:p>
      <w:pPr>
        <w:numPr>
          <w:ilvl w:val="0"/>
          <w:numId w:val="1024"/>
        </w:numPr>
        <w:pStyle w:val="Compact"/>
      </w:pPr>
      <w:r>
        <w:rPr>
          <w:bCs/>
          <w:b/>
        </w:rPr>
        <w:t xml:space="preserve">Illustrative Emission Factors:</w:t>
      </w:r>
      <w:r>
        <w:t xml:space="preserve"> </w:t>
      </w:r>
      <w:r>
        <w:t xml:space="preserve">Some emission factors for transport (e.g., Parcel Van) and End-of-Life (Landfill/Incineration, recycling credit calculation) are illustrative averages due to the generic nature of the input parameters ("Select Mode", "Delivery Type") and lack of specific Ecoinvent/DEFRA database access. More granular, supplier-specific data would enhance accuracy.</w:t>
      </w:r>
    </w:p>
    <w:p>
      <w:pPr>
        <w:numPr>
          <w:ilvl w:val="0"/>
          <w:numId w:val="1024"/>
        </w:numPr>
        <w:pStyle w:val="Compact"/>
      </w:pPr>
      <w:r>
        <w:rPr>
          <w:bCs/>
          <w:b/>
        </w:rPr>
        <w:t xml:space="preserve">Simplified Scope 1 Assessment:</w:t>
      </w:r>
      <w:r>
        <w:t xml:space="preserve"> </w:t>
      </w:r>
      <w:r>
        <w:t xml:space="preserve">Direct operational emissions (Scope 1) for manufacturing were considered negligible based on the provided parameters. A detailed facility-level energy audit and process emission assessment would be required for a comprehensive Scope 1 quantification.</w:t>
      </w:r>
    </w:p>
    <w:p>
      <w:pPr>
        <w:numPr>
          <w:ilvl w:val="0"/>
          <w:numId w:val="1024"/>
        </w:numPr>
        <w:pStyle w:val="Compact"/>
      </w:pPr>
      <w:r>
        <w:rPr>
          <w:bCs/>
          <w:b/>
        </w:rPr>
        <w:t xml:space="preserve">LSR Standard Future Integration:</w:t>
      </w:r>
      <w:r>
        <w:t xml:space="preserve"> </w:t>
      </w:r>
      <w:r>
        <w:t xml:space="preserve">While acknowledged, a full, detailed analysis under the new 2026 LSR Standard for land-use impacts requires specific agricultural/forestry data that was not within the scope of the provided parameters.</w:t>
      </w:r>
    </w:p>
    <w:p>
      <w:pPr>
        <w:numPr>
          <w:ilvl w:val="0"/>
          <w:numId w:val="1024"/>
        </w:numPr>
        <w:pStyle w:val="Compact"/>
      </w:pPr>
      <w:r>
        <w:rPr>
          <w:bCs/>
          <w:b/>
        </w:rPr>
        <w:t xml:space="preserve">Dynamic Data:</w:t>
      </w:r>
      <w:r>
        <w:t xml:space="preserve"> </w:t>
      </w:r>
      <w:r>
        <w:t xml:space="preserve">Emission factors, especially for electricity grids, can change annually. The 2023 China grid factor was used as the most recent available.</w:t>
      </w:r>
    </w:p>
    <w:bookmarkEnd w:id="50"/>
    <w:bookmarkStart w:id="51" w:name="recommendations"/>
    <w:p>
      <w:pPr>
        <w:pStyle w:val="Heading3"/>
      </w:pPr>
      <w:r>
        <w:t xml:space="preserve">5.3. Recommendations</w:t>
      </w:r>
    </w:p>
    <w:p>
      <w:pPr>
        <w:pStyle w:val="FirstParagraph"/>
      </w:pPr>
      <w:r>
        <w:t xml:space="preserve">Based on this analysis,</w:t>
      </w:r>
      <w:r>
        <w:t xml:space="preserve"> </w:t>
      </w:r>
      <w:r>
        <w:rPr>
          <w:bCs/>
          <w:b/>
        </w:rPr>
        <w:t xml:space="preserve">lrqtkxlhtg</w:t>
      </w:r>
      <w:r>
        <w:t xml:space="preserve"> </w:t>
      </w:r>
      <w:r>
        <w:t xml:space="preserve">can focus on the following areas to reduce the PCF of xvjdusftps:</w:t>
      </w:r>
    </w:p>
    <w:p>
      <w:pPr>
        <w:numPr>
          <w:ilvl w:val="0"/>
          <w:numId w:val="1025"/>
        </w:numPr>
        <w:pStyle w:val="Compact"/>
      </w:pPr>
      <w:r>
        <w:rPr>
          <w:bCs/>
          <w:b/>
        </w:rPr>
        <w:t xml:space="preserve">Optimize Use Phase Efficiency:</w:t>
      </w:r>
      <w:r>
        <w:t xml:space="preserve"> </w:t>
      </w:r>
      <w:r>
        <w:t xml:space="preserve">Invest in R&amp;D to significantly reduce the product\'s energy consumption during its use phase or extend its lifespan further, as this is the primary driver of the PCF. Explore lower-energy components or alternative product designs.</w:t>
      </w:r>
    </w:p>
    <w:p>
      <w:pPr>
        <w:numPr>
          <w:ilvl w:val="0"/>
          <w:numId w:val="1025"/>
        </w:numPr>
        <w:pStyle w:val="Compact"/>
      </w:pPr>
      <w:r>
        <w:rPr>
          <w:bCs/>
          <w:b/>
        </w:rPr>
        <w:t xml:space="preserve">Decarbonize Manufacturing Energy:</w:t>
      </w:r>
      <w:r>
        <w:t xml:space="preserve"> </w:t>
      </w:r>
      <w:r>
        <w:t xml:space="preserve">Increase the percentage of renewable energy used in production beyond 60%. Exploring Power Purchase Agreements (PPAs) for direct renewable energy sourcing or investing in on-site renewables in China would further reduce Scope 2 emissions.</w:t>
      </w:r>
    </w:p>
    <w:p>
      <w:pPr>
        <w:numPr>
          <w:ilvl w:val="0"/>
          <w:numId w:val="1025"/>
        </w:numPr>
        <w:pStyle w:val="Compact"/>
      </w:pPr>
      <w:r>
        <w:rPr>
          <w:bCs/>
          <w:b/>
        </w:rPr>
        <w:t xml:space="preserve">Supplier Engagement for Materials:</w:t>
      </w:r>
      <w:r>
        <w:t xml:space="preserve"> </w:t>
      </w:r>
      <w:r>
        <w:t xml:space="preserve">Work with material suppliers to identify and source lower-carbon alternatives for components like circuit boards and aluminum casings. Explore secondary (recycled) raw materials where feasible, pushing for higher recycled content than current industry averages.</w:t>
      </w:r>
    </w:p>
    <w:p>
      <w:pPr>
        <w:numPr>
          <w:ilvl w:val="0"/>
          <w:numId w:val="1025"/>
        </w:numPr>
        <w:pStyle w:val="Compact"/>
      </w:pPr>
      <w:r>
        <w:rPr>
          <w:bCs/>
          <w:b/>
        </w:rPr>
        <w:t xml:space="preserve">Enhance Circularity:</w:t>
      </w:r>
      <w:r>
        <w:t xml:space="preserve"> </w:t>
      </w:r>
      <w:r>
        <w:t xml:space="preserve">Continue to strengthen circular economy initiatives and take-back programs to maximize product lifespan and material recovery. Actively track and report actual recycling rates to validate the assumed benefits.</w:t>
      </w:r>
    </w:p>
    <w:p>
      <w:pPr>
        <w:numPr>
          <w:ilvl w:val="0"/>
          <w:numId w:val="1025"/>
        </w:numPr>
        <w:pStyle w:val="Compact"/>
      </w:pPr>
      <w:r>
        <w:rPr>
          <w:bCs/>
          <w:b/>
        </w:rPr>
        <w:t xml:space="preserve">Data Granularity:</w:t>
      </w:r>
      <w:r>
        <w:t xml:space="preserve"> </w:t>
      </w:r>
      <w:r>
        <w:t xml:space="preserve">For future PCF analyses, collect more primary, supplier-specific data for transport modes, distances, and end-of-life treatment routes to meet the evolving GHG Protocol Scope 3 data quality and coverage requirements.</w:t>
      </w:r>
    </w:p>
    <w:p>
      <w:r>
        <w:pict>
          <v:rect style="width:0;height:1.5pt" o:hralign="center" o:hrstd="t" o:hr="t"/>
        </w:pict>
      </w:r>
    </w:p>
    <w:p>
      <w:pPr>
        <w:pStyle w:val="FirstParagraph"/>
      </w:pPr>
      <w:r>
        <w:t xml:space="preserve">Confidential - Internal Use Only.</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xvjdusftps</dc:title>
  <dc:creator/>
  <dc:description>High-detail Product Carbon Footprint (PCF) analysis report for xvjdusftps, following GHG Protocol standards and 2026 updates, for lrqtkxlhtg by sxottilvly.</dc:description>
  <dc:language>en</dc:language>
  <cp:keywords/>
  <dcterms:created xsi:type="dcterms:W3CDTF">2026-05-30T17:19:27Z</dcterms:created>
  <dcterms:modified xsi:type="dcterms:W3CDTF">2026-05-30T17:19:27Z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