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xvhjtlxwfz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Company Name: iujxjyidvo</w:t>
      </w:r>
    </w:p>
    <w:p>
      <w:pPr>
        <w:pStyle w:val="BodyText"/>
      </w:pPr>
      <w:r>
        <w:t xml:space="preserve">Product: xvhjtlxwfz</w:t>
      </w:r>
    </w:p>
    <w:p>
      <w:pPr>
        <w:pStyle w:val="BodyText"/>
      </w:pPr>
      <w:r>
        <w:t xml:space="preserve">Protocol Data (Accounting Standard): GHG Protocol</w:t>
      </w:r>
    </w:p>
    <w:p>
      <w:pPr>
        <w:pStyle w:val="BodyText"/>
      </w:pPr>
      <w:r>
        <w:t xml:space="preserve">Senior Sustainability Consultant: hfouiluovl</w:t>
      </w:r>
    </w:p>
    <w:p>
      <w:pPr>
        <w:pStyle w:val="BodyText"/>
      </w:pPr>
      <w:r>
        <w:t xml:space="preserve">Date: June 2, 2026</w:t>
      </w:r>
    </w:p>
    <w:p>
      <w:pPr>
        <w:pStyle w:val="BodyText"/>
      </w:pPr>
      <w:r>
        <w:t xml:space="preserve">Disclaimer: This report is generated based on available data, industry standards, and reasonable assumptions where specific primary data was unavailable. While every effort has been made to ensure accuracy, the figures presented are estimates and should be used for guidance in sustainability efforts.</w:t>
      </w:r>
    </w:p>
    <w:bookmarkEnd w:id="20"/>
    <w:p>
      <w:r>
        <w:pict>
          <v:rect style="width:0;height:1.5pt" o:hralign="center" o:hrstd="t" o:hr="t"/>
        </w:pict>
      </w:r>
    </w:p>
    <w:p>
      <w:pPr>
        <w:pStyle w:val="FirstParagraph"/>
      </w:pPr>
      <w:r>
        <w:t xml:space="preserve">Product Carbon Footprint Report for xvhjtlxwfz | Generated Date: June 2, 2026</w:t>
      </w:r>
    </w:p>
    <w:bookmarkStart w:id="21" w:name="executive-summary"/>
    <w:p>
      <w:pPr>
        <w:pStyle w:val="Heading1"/>
      </w:pPr>
      <w:r>
        <w:t xml:space="preserve">1. Executive Summary</w:t>
      </w:r>
    </w:p>
    <w:p>
      <w:pPr>
        <w:pStyle w:val="FirstParagraph"/>
      </w:pPr>
      <w:r>
        <w:t xml:space="preserve">This report presents a high-detail Product Carbon Footprint (PCF) analysis for the product xvhjtlxwfz, manufactured by iujxjyidvo. The analysis, conducted by Senior Sustainability Consultant hfouiluovl, adheres to the Greenhouse Gas (GHG) Protocol standards, including the latest 2026 Land Sector and Removals (LSR) Standard update and the stringent 95% Scope 3 coverage requirements. The PCF is calculated for a functional unit of 1.0 unit of xvhjtlxwfz, employing a factory-gate to end-of-life system boundary with a focus on a European supply chain and final production in China. The aim is to identify key emission hotspots across the product\'s lifecycle, enabling iujxjyidvo to strategically target emission reduction efforts.</w:t>
      </w:r>
    </w:p>
    <w:p>
      <w:r>
        <w:pict>
          <v:rect style="width:0;height:1.5pt" o:hralign="center" o:hrstd="t" o:hr="t"/>
        </w:pict>
      </w:r>
    </w:p>
    <w:bookmarkEnd w:id="21"/>
    <w:bookmarkStart w:id="25" w:name="methodology"/>
    <w:p>
      <w:pPr>
        <w:pStyle w:val="Heading1"/>
      </w:pPr>
      <w:r>
        <w:t xml:space="preserve">2. Methodology</w:t>
      </w:r>
    </w:p>
    <w:p>
      <w:pPr>
        <w:pStyle w:val="FirstParagraph"/>
      </w:pPr>
      <w:r>
        <w:t xml:space="preserve">The Product Carbon Footprint (PCF) analysis for xvhjtlxwfz follows a systematic five-step methodology in accordance with the GHG Protocol.</w:t>
      </w:r>
    </w:p>
    <w:bookmarkStart w:id="22" w:name="define-scope"/>
    <w:p>
      <w:pPr>
        <w:pStyle w:val="Heading2"/>
      </w:pPr>
      <w:r>
        <w:t xml:space="preserve">2.1. Define Scope</w:t>
      </w:r>
    </w:p>
    <w:p>
      <w:pPr>
        <w:numPr>
          <w:ilvl w:val="0"/>
          <w:numId w:val="1001"/>
        </w:numPr>
        <w:pStyle w:val="Compact"/>
      </w:pPr>
      <w:r>
        <w:rPr>
          <w:bCs/>
          <w:b/>
        </w:rPr>
        <w:t xml:space="preserve">Functional Unit:</w:t>
      </w:r>
      <w:r>
        <w:t xml:space="preserve"> </w:t>
      </w:r>
      <w:r>
        <w:t xml:space="preserve">1.0 unit of xvhjtlxwfz.</w:t>
      </w:r>
    </w:p>
    <w:p>
      <w:pPr>
        <w:numPr>
          <w:ilvl w:val="0"/>
          <w:numId w:val="1001"/>
        </w:numPr>
        <w:pStyle w:val="Compact"/>
      </w:pPr>
      <w:r>
        <w:rPr>
          <w:bCs/>
          <w:b/>
        </w:rPr>
        <w:t xml:space="preserve">System Boundary:</w:t>
      </w:r>
      <w:r>
        <w:t xml:space="preserve"> </w:t>
      </w:r>
      <w:r>
        <w:t xml:space="preserve">Factory-gate to end-of-life. This encompasses all stages from raw material extraction, through manufacturing, transportation, use phase, and final disposal or recycling.</w:t>
      </w:r>
    </w:p>
    <w:p>
      <w:pPr>
        <w:numPr>
          <w:ilvl w:val="0"/>
          <w:numId w:val="1001"/>
        </w:numPr>
        <w:pStyle w:val="Compact"/>
      </w:pPr>
      <w:r>
        <w:rPr>
          <w:bCs/>
          <w:b/>
        </w:rPr>
        <w:t xml:space="preserve">Geographic Scope:</w:t>
      </w:r>
      <w:r>
        <w:t xml:space="preserve"> </w:t>
      </w:r>
      <w:r>
        <w:t xml:space="preserve">Final production country: China. Supply Chain Focus: Europe Focused. This considers region-specific emission factors for energy and transport where applicable.</w:t>
      </w:r>
    </w:p>
    <w:p>
      <w:pPr>
        <w:numPr>
          <w:ilvl w:val="0"/>
          <w:numId w:val="1001"/>
        </w:numPr>
        <w:pStyle w:val="Compact"/>
      </w:pPr>
      <w:r>
        <w:rPr>
          <w:bCs/>
          <w:b/>
        </w:rPr>
        <w:t xml:space="preserve">Accounting Standard:</w:t>
      </w:r>
      <w:r>
        <w:t xml:space="preserve"> </w:t>
      </w:r>
      <w:r>
        <w:t xml:space="preserve">GHG Protocol. This report strictly adheres to the GHG Protocol\'s Corporate Accounting and Reporting Standard and the Corporate Value Chain (Scope 3) Accounting and Reporting Standard. Emissions are categorized into Scope 1 (direct emissions from owned or controlled sources), Scope 2 (indirect emissions from purchased electricity, steam, heat, or cooling), and Scope 3 (all other indirect emissions across the value chain).</w:t>
      </w:r>
    </w:p>
    <w:p>
      <w:pPr>
        <w:numPr>
          <w:ilvl w:val="0"/>
          <w:numId w:val="1001"/>
        </w:numPr>
        <w:pStyle w:val="Compact"/>
      </w:pPr>
      <w:r>
        <w:rPr>
          <w:bCs/>
          <w:b/>
        </w:rPr>
        <w:t xml:space="preserve">Allocation:</w:t>
      </w:r>
      <w:r>
        <w:t xml:space="preserve"> </w:t>
      </w:r>
      <w:r>
        <w:t xml:space="preserve">Mass-based allocation is applied where co-products or by-products exist, ensuring proportional distribution of environmental burdens.</w:t>
      </w:r>
    </w:p>
    <w:bookmarkEnd w:id="22"/>
    <w:bookmarkStart w:id="23" w:name="map-lifecycle-lci-inventory-stages"/>
    <w:p>
      <w:pPr>
        <w:pStyle w:val="Heading2"/>
      </w:pPr>
      <w:r>
        <w:t xml:space="preserve">2.2. Map Lifecycle (LCI Inventory Stages)</w:t>
      </w:r>
    </w:p>
    <w:p>
      <w:pPr>
        <w:pStyle w:val="FirstParagraph"/>
      </w:pPr>
      <w:r>
        <w:t xml:space="preserve">The lifecycle of xvhjtlxwfz has been mapped across five key stages:</w:t>
      </w:r>
    </w:p>
    <w:p>
      <w:pPr>
        <w:numPr>
          <w:ilvl w:val="0"/>
          <w:numId w:val="1002"/>
        </w:numPr>
        <w:pStyle w:val="Compact"/>
      </w:pPr>
      <w:r>
        <w:rPr>
          <w:bCs/>
          <w:b/>
        </w:rPr>
        <w:t xml:space="preserve">Material Acquisition &amp; Pre-processing:</w:t>
      </w:r>
      <w:r>
        <w:t xml:space="preserve"> </w:t>
      </w:r>
      <w:r>
        <w:t xml:space="preserve">Extraction, processing, and manufacturing of raw materials and components (upstream Scope 3).</w:t>
      </w:r>
    </w:p>
    <w:p>
      <w:pPr>
        <w:numPr>
          <w:ilvl w:val="0"/>
          <w:numId w:val="1002"/>
        </w:numPr>
        <w:pStyle w:val="Compact"/>
      </w:pPr>
      <w:r>
        <w:rPr>
          <w:bCs/>
          <w:b/>
        </w:rPr>
        <w:t xml:space="preserve">Manufacturing:</w:t>
      </w:r>
      <w:r>
        <w:t xml:space="preserve"> </w:t>
      </w:r>
      <w:r>
        <w:t xml:space="preserve">Production activities at iujxjyidvo\'s facility in China, including direct emissions (Scope 1) and energy consumption (Scope 2).</w:t>
      </w:r>
    </w:p>
    <w:p>
      <w:pPr>
        <w:numPr>
          <w:ilvl w:val="0"/>
          <w:numId w:val="1002"/>
        </w:numPr>
        <w:pStyle w:val="Compact"/>
      </w:pPr>
      <w:r>
        <w:rPr>
          <w:bCs/>
          <w:b/>
        </w:rPr>
        <w:t xml:space="preserve">Transport &amp; Distribution:</w:t>
      </w:r>
      <w:r>
        <w:t xml:space="preserve"> </w:t>
      </w:r>
      <w:r>
        <w:t xml:space="preserve">Transportation of raw materials and components to the factory, and distribution of the finished product to the customer (upstream and downstream Scope 3).</w:t>
      </w:r>
    </w:p>
    <w:p>
      <w:pPr>
        <w:numPr>
          <w:ilvl w:val="0"/>
          <w:numId w:val="1002"/>
        </w:numPr>
        <w:pStyle w:val="Compact"/>
      </w:pPr>
      <w:r>
        <w:rPr>
          <w:bCs/>
          <w:b/>
        </w:rPr>
        <w:t xml:space="preserve">Use Phase:</w:t>
      </w:r>
      <w:r>
        <w:t xml:space="preserve"> </w:t>
      </w:r>
      <w:r>
        <w:t xml:space="preserve">Energy consumption and other impacts associated with the product\'s usage over its lifespan (downstream Scope 3).</w:t>
      </w:r>
    </w:p>
    <w:p>
      <w:pPr>
        <w:numPr>
          <w:ilvl w:val="0"/>
          <w:numId w:val="1002"/>
        </w:numPr>
        <w:pStyle w:val="Compact"/>
      </w:pPr>
      <w:r>
        <w:rPr>
          <w:bCs/>
          <w:b/>
        </w:rPr>
        <w:t xml:space="preserve">End-of-Life:</w:t>
      </w:r>
      <w:r>
        <w:t xml:space="preserve"> </w:t>
      </w:r>
      <w:r>
        <w:t xml:space="preserve">Disposal, recycling, or recovery processes for the product after its useful life (downstream Scope 3).</w:t>
      </w:r>
    </w:p>
    <w:bookmarkEnd w:id="23"/>
    <w:bookmarkStart w:id="24" w:name="collect-data"/>
    <w:p>
      <w:pPr>
        <w:pStyle w:val="Heading2"/>
      </w:pPr>
      <w:r>
        <w:t xml:space="preserve">2.3. Collect Data</w:t>
      </w:r>
    </w:p>
    <w:p>
      <w:pPr>
        <w:pStyle w:val="FirstParagraph"/>
      </w:pPr>
      <w:r>
        <w:t xml:space="preserve">Both primary and secondary data were collected for this analysis.</w:t>
      </w:r>
    </w:p>
    <w:p>
      <w:pPr>
        <w:numPr>
          <w:ilvl w:val="0"/>
          <w:numId w:val="1003"/>
        </w:numPr>
        <w:pStyle w:val="Compact"/>
      </w:pPr>
      <w:r>
        <w:rPr>
          <w:bCs/>
          <w:b/>
        </w:rPr>
        <w:t xml:space="preserve">Detailed Bill of Materials (BOM):</w:t>
      </w:r>
      <w:r>
        <w:t xml:space="preserve"> </w:t>
      </w:r>
      <w:r>
        <w:t xml:space="preserve">The provided BOM (mntflxre) was used for high-accuracy material impact calculation. Each item\'s quantity, unit, and total carbon footprint are directly incorporated.</w:t>
      </w:r>
    </w:p>
    <w:p>
      <w:pPr>
        <w:numPr>
          <w:ilvl w:val="0"/>
          <w:numId w:val="1003"/>
        </w:numPr>
        <w:pStyle w:val="Compact"/>
      </w:pPr>
      <w:r>
        <w:rPr>
          <w:bCs/>
          <w:b/>
        </w:rPr>
        <w:t xml:space="preserve">Logistics Data:</w:t>
      </w:r>
      <w:r>
        <w:t xml:space="preserve"> </w:t>
      </w:r>
      <w:r>
        <w:t xml:space="preserve">Specific transport mode (Truck Freight), distance (1500 km), and last-mile delivery channel (Van Delivery) were integrated.</w:t>
      </w:r>
    </w:p>
    <w:p>
      <w:pPr>
        <w:numPr>
          <w:ilvl w:val="0"/>
          <w:numId w:val="1003"/>
        </w:numPr>
        <w:pStyle w:val="Compact"/>
      </w:pPr>
      <w:r>
        <w:rPr>
          <w:bCs/>
          <w:b/>
        </w:rPr>
        <w:t xml:space="preserve">Energy Customization Data:</w:t>
      </w:r>
      <w:r>
        <w:t xml:space="preserve"> </w:t>
      </w:r>
      <w:r>
        <w:t xml:space="preserve">Renewable energy usage (75%) and energy intensity (0.8 kWh/unit) for the production phase were applied.</w:t>
      </w:r>
    </w:p>
    <w:p>
      <w:pPr>
        <w:numPr>
          <w:ilvl w:val="0"/>
          <w:numId w:val="1003"/>
        </w:numPr>
        <w:pStyle w:val="Compact"/>
      </w:pPr>
      <w:r>
        <w:rPr>
          <w:bCs/>
          <w:b/>
        </w:rPr>
        <w:t xml:space="preserve">Use Phase Data:</w:t>
      </w:r>
      <w:r>
        <w:t xml:space="preserve"> </w:t>
      </w:r>
      <w:r>
        <w:t xml:space="preserve">Product lifespan (5 years) and energy consumption in use (10 kWh/year) were utilized.</w:t>
      </w:r>
    </w:p>
    <w:p>
      <w:pPr>
        <w:numPr>
          <w:ilvl w:val="0"/>
          <w:numId w:val="1003"/>
        </w:numPr>
        <w:pStyle w:val="Compact"/>
      </w:pPr>
      <w:r>
        <w:rPr>
          <w:bCs/>
          <w:b/>
        </w:rPr>
        <w:t xml:space="preserve">End-of-Life (EoL) Scenarios:</w:t>
      </w:r>
      <w:r>
        <w:t xml:space="preserve"> </w:t>
      </w:r>
      <w:r>
        <w:t xml:space="preserve">Recyclability percentage (60%) and the existence of circular/take-back programs (Yes) were factored in.</w:t>
      </w:r>
    </w:p>
    <w:p>
      <w:pPr>
        <w:numPr>
          <w:ilvl w:val="0"/>
          <w:numId w:val="1003"/>
        </w:numPr>
        <w:pStyle w:val="Compact"/>
      </w:pPr>
      <w:r>
        <w:rPr>
          <w:bCs/>
          <w:b/>
        </w:rPr>
        <w:t xml:space="preserve">Emission Factors:</w:t>
      </w:r>
      <w:r>
        <w:t xml:space="preserve"> </w:t>
      </w:r>
      <w:r>
        <w:t xml:space="preserve">Industry-standard emission factors were sourced from reputable databases such as Ecoinvent and DEFRA, particularly for generic processes, energy grids, and transport.</w:t>
      </w:r>
    </w:p>
    <w:p>
      <w:r>
        <w:pict>
          <v:rect style="width:0;height:1.5pt" o:hralign="center" o:hrstd="t" o:hr="t"/>
        </w:pict>
      </w:r>
    </w:p>
    <w:bookmarkEnd w:id="24"/>
    <w:bookmarkEnd w:id="25"/>
    <w:bookmarkStart w:id="32" w:name="carbon-footprint-analysis"/>
    <w:p>
      <w:pPr>
        <w:pStyle w:val="Heading1"/>
      </w:pPr>
      <w:r>
        <w:t xml:space="preserve">3. Carbon Footprint Analysis</w:t>
      </w:r>
    </w:p>
    <w:p>
      <w:pPr>
        <w:pStyle w:val="FirstParagraph"/>
      </w:pPr>
      <w:r>
        <w:t xml:space="preserve">The total Product Carbon Footprint for xvhjtlxwfz is calculated by summing emissions across all lifecycle stages. All calculations are in CO2 equivalents (CO2e).</w:t>
      </w:r>
    </w:p>
    <w:bookmarkStart w:id="26" w:name="X1198c8af25dd1a2ebffa686809674f976343a37"/>
    <w:p>
      <w:pPr>
        <w:pStyle w:val="Heading2"/>
      </w:pPr>
      <w:r>
        <w:t xml:space="preserve">3.1. Material Acquisition &amp; Pre-processing (Scope 3 - Upstream)</w:t>
      </w:r>
    </w:p>
    <w:p>
      <w:pPr>
        <w:pStyle w:val="FirstParagraph"/>
      </w:pPr>
      <w:r>
        <w:t xml:space="preserve">This stage accounts for the emissions generated from the extraction, production, and pre-processing of all raw materials and components listed in the Bill of Materials.</w:t>
      </w:r>
    </w:p>
    <w:p>
      <w:pPr>
        <w:pStyle w:val="BodyText"/>
      </w:pPr>
      <w:r>
        <w:rPr>
          <w:bCs/>
          <w:b/>
        </w:rPr>
        <w:t xml:space="preserve">Detailed Bill of Materials (BOM) Emissions (mntflxre):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Forging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Acquisition &amp; Pre-processing Emissions:</w:t>
      </w:r>
      <w:r>
        <w:t xml:space="preserve"> </w:t>
      </w:r>
      <w:r>
        <w:t xml:space="preserve">1.25 + 1.50 + 0.03 + 0.20 =</w:t>
      </w:r>
      <w:r>
        <w:t xml:space="preserve"> </w:t>
      </w:r>
      <w:r>
        <w:rPr>
          <w:bCs/>
          <w:b/>
        </w:rPr>
        <w:t xml:space="preserve">2.98 kg CO2e</w:t>
      </w:r>
    </w:p>
    <w:bookmarkEnd w:id="26"/>
    <w:bookmarkStart w:id="27" w:name="manufacturing-scope-1-2-3---production"/>
    <w:p>
      <w:pPr>
        <w:pStyle w:val="Heading2"/>
      </w:pPr>
      <w:r>
        <w:t xml:space="preserve">3.2. Manufacturing (Scope 1, 2, 3 - Production)</w:t>
      </w:r>
    </w:p>
    <w:p>
      <w:pPr>
        <w:pStyle w:val="FirstParagraph"/>
      </w:pPr>
      <w:r>
        <w:t xml:space="preserve">This stage includes direct emissions from the factory (Scope 1) and indirect emissions from purchased electricity (Scope 2) in China, as well as upstream emissions related to purchased goods and services not captured by the BOM (Scope 3, Category 1). Given the system boundary is \'factory_gate\' for the product boundary, it refers to processes happening within the company\'s operational control, but the GHG Protocol standard for PCF might include upstream to factory gate (Scope 3 - purchased goods and services) as part of "manufacturing emissions". For this report, \'Manufacturing\' refers to emissions occurring at the production facility.</w:t>
      </w:r>
    </w:p>
    <w:p>
      <w:pPr>
        <w:numPr>
          <w:ilvl w:val="0"/>
          <w:numId w:val="1004"/>
        </w:numPr>
        <w:pStyle w:val="Compact"/>
      </w:pPr>
      <w:r>
        <w:rPr>
          <w:bCs/>
          <w:b/>
        </w:rPr>
        <w:t xml:space="preserve">Energy Intensity (prfqtrkkdg):</w:t>
      </w:r>
      <w:r>
        <w:t xml:space="preserve"> </w:t>
      </w:r>
      <w:r>
        <w:t xml:space="preserve">0.8 kWh/unit</w:t>
      </w:r>
    </w:p>
    <w:p>
      <w:pPr>
        <w:numPr>
          <w:ilvl w:val="0"/>
          <w:numId w:val="1004"/>
        </w:numPr>
        <w:pStyle w:val="Compact"/>
      </w:pPr>
      <w:r>
        <w:rPr>
          <w:bCs/>
          <w:b/>
        </w:rPr>
        <w:t xml:space="preserve">Renewable Energy Usage (hvlowpkihn):</w:t>
      </w:r>
      <w:r>
        <w:t xml:space="preserve"> </w:t>
      </w:r>
      <w:r>
        <w:t xml:space="preserve">75%</w:t>
      </w:r>
    </w:p>
    <w:p>
      <w:pPr>
        <w:numPr>
          <w:ilvl w:val="0"/>
          <w:numId w:val="1004"/>
        </w:numPr>
        <w:pStyle w:val="Compact"/>
      </w:pPr>
      <w:r>
        <w:rPr>
          <w:bCs/>
          <w:b/>
        </w:rPr>
        <w:t xml:space="preserve">Non-Renewable Energy:</w:t>
      </w:r>
      <w:r>
        <w:t xml:space="preserve"> </w:t>
      </w:r>
      <w:r>
        <w:t xml:space="preserve">25% (1 - 0.75)</w:t>
      </w:r>
    </w:p>
    <w:p>
      <w:pPr>
        <w:numPr>
          <w:ilvl w:val="0"/>
          <w:numId w:val="1004"/>
        </w:numPr>
        <w:pStyle w:val="Compact"/>
      </w:pPr>
      <w:r>
        <w:rPr>
          <w:bCs/>
          <w:b/>
        </w:rPr>
        <w:t xml:space="preserve">Electricity Grid Mix China (assumed EF):</w:t>
      </w:r>
      <w:r>
        <w:t xml:space="preserve"> </w:t>
      </w:r>
      <w:r>
        <w:t xml:space="preserve">0.7 kg CO2e/kWh</w:t>
      </w:r>
    </w:p>
    <w:p>
      <w:pPr>
        <w:numPr>
          <w:ilvl w:val="0"/>
          <w:numId w:val="1004"/>
        </w:numPr>
        <w:pStyle w:val="Compact"/>
      </w:pPr>
      <w:r>
        <w:rPr>
          <w:bCs/>
          <w:b/>
        </w:rPr>
        <w:t xml:space="preserve">Renewable Electricity EF (assumed for residual impacts):</w:t>
      </w:r>
      <w:r>
        <w:t xml:space="preserve"> </w:t>
      </w:r>
      <w:r>
        <w:t xml:space="preserve">0.02 kg CO2e/kWh</w:t>
      </w:r>
    </w:p>
    <w:p>
      <w:pPr>
        <w:pStyle w:val="FirstParagraph"/>
      </w:pPr>
      <w:r>
        <w:rPr>
          <w:bCs/>
          <w:b/>
        </w:rPr>
        <w:t xml:space="preserve">Calculations:</w:t>
      </w:r>
    </w:p>
    <w:p>
      <w:pPr>
        <w:numPr>
          <w:ilvl w:val="0"/>
          <w:numId w:val="1005"/>
        </w:numPr>
        <w:pStyle w:val="Compact"/>
      </w:pPr>
      <w:r>
        <w:t xml:space="preserve">Non-Renewable Energy Consumption = 0.8 kWh/unit * 0.25 = 0.2 kWh/unit</w:t>
      </w:r>
    </w:p>
    <w:p>
      <w:pPr>
        <w:numPr>
          <w:ilvl w:val="0"/>
          <w:numId w:val="1005"/>
        </w:numPr>
        <w:pStyle w:val="Compact"/>
      </w:pPr>
      <w:r>
        <w:t xml:space="preserve">Renewable Energy Consumption = 0.8 kWh/unit * 0.75 = 0.6 kWh/unit</w:t>
      </w:r>
    </w:p>
    <w:p>
      <w:pPr>
        <w:numPr>
          <w:ilvl w:val="0"/>
          <w:numId w:val="1005"/>
        </w:numPr>
        <w:pStyle w:val="Compact"/>
      </w:pPr>
      <w:r>
        <w:t xml:space="preserve">Emissions from Non-Renewable Energy (Scope 2) = 0.2 kWh/unit * 0.7 kg CO2e/kWh = 0.14 kg CO2e/unit</w:t>
      </w:r>
    </w:p>
    <w:p>
      <w:pPr>
        <w:numPr>
          <w:ilvl w:val="0"/>
          <w:numId w:val="1005"/>
        </w:numPr>
        <w:pStyle w:val="Compact"/>
      </w:pPr>
      <w:r>
        <w:t xml:space="preserve">Emissions from Renewable Energy (Scope 2) = 0.6 kWh/unit * 0.02 kg CO2e/kWh = 0.012 kg CO2e/unit</w:t>
      </w:r>
    </w:p>
    <w:p>
      <w:pPr>
        <w:pStyle w:val="FirstParagraph"/>
      </w:pPr>
      <w:r>
        <w:rPr>
          <w:bCs/>
          <w:b/>
        </w:rPr>
        <w:t xml:space="preserve">Total Manufacturing Emissions (Scope 2):</w:t>
      </w:r>
      <w:r>
        <w:t xml:space="preserve"> </w:t>
      </w:r>
      <w:r>
        <w:t xml:space="preserve">0.14 + 0.012 =</w:t>
      </w:r>
      <w:r>
        <w:t xml:space="preserve"> </w:t>
      </w:r>
      <w:r>
        <w:rPr>
          <w:bCs/>
          <w:b/>
        </w:rPr>
        <w:t xml:space="preserve">0.152 kg CO2e</w:t>
      </w:r>
    </w:p>
    <w:p>
      <w:pPr>
        <w:pStyle w:val="BodyText"/>
      </w:pPr>
      <w:r>
        <w:rPr>
          <w:iCs/>
          <w:i/>
        </w:rPr>
        <w:t xml:space="preserve">Note: Scope 1 emissions (e.g., from on-site fuel combustion or fugitive emissions) are assumed to be negligible or covered by broader corporate inventory for a single product unless specified. For this PCF, Scope 1 is considered minimal within the factory-gate context without further data.</w:t>
      </w:r>
    </w:p>
    <w:bookmarkEnd w:id="27"/>
    <w:bookmarkStart w:id="28" w:name="Xc78fa9e95fdc5a4841e5055035e97eb6a5c3c11"/>
    <w:p>
      <w:pPr>
        <w:pStyle w:val="Heading2"/>
      </w:pPr>
      <w:r>
        <w:t xml:space="preserve">3.3. Transport &amp; Distribution (Scope 3 - Upstream &amp; Downstream)</w:t>
      </w:r>
    </w:p>
    <w:p>
      <w:pPr>
        <w:pStyle w:val="FirstParagraph"/>
      </w:pPr>
      <w:r>
        <w:t xml:space="preserve">This stage includes emissions from transporting materials to the factory and the finished product to the customer.</w:t>
      </w:r>
    </w:p>
    <w:p>
      <w:pPr>
        <w:numPr>
          <w:ilvl w:val="0"/>
          <w:numId w:val="1006"/>
        </w:numPr>
        <w:pStyle w:val="Compact"/>
      </w:pPr>
      <w:r>
        <w:rPr>
          <w:bCs/>
          <w:b/>
        </w:rPr>
        <w:t xml:space="preserve">Transport Mode (Select Mode):</w:t>
      </w:r>
      <w:r>
        <w:t xml:space="preserve"> </w:t>
      </w:r>
      <w:r>
        <w:t xml:space="preserve">Truck Freight</w:t>
      </w:r>
    </w:p>
    <w:p>
      <w:pPr>
        <w:numPr>
          <w:ilvl w:val="0"/>
          <w:numId w:val="1006"/>
        </w:numPr>
        <w:pStyle w:val="Compact"/>
      </w:pPr>
      <w:r>
        <w:rPr>
          <w:bCs/>
          <w:b/>
        </w:rPr>
        <w:t xml:space="preserve">Transport Distance (hjuohmrfgz - assumed for calculation):</w:t>
      </w:r>
      <w:r>
        <w:t xml:space="preserve"> </w:t>
      </w:r>
      <w:r>
        <w:t xml:space="preserve">1500 km</w:t>
      </w:r>
    </w:p>
    <w:p>
      <w:pPr>
        <w:numPr>
          <w:ilvl w:val="0"/>
          <w:numId w:val="1006"/>
        </w:numPr>
        <w:pStyle w:val="Compact"/>
      </w:pPr>
      <w:r>
        <w:rPr>
          <w:bCs/>
          <w:b/>
        </w:rPr>
        <w:t xml:space="preserve">Last-Mile Delivery Channel (Delivery Type):</w:t>
      </w:r>
      <w:r>
        <w:t xml:space="preserve"> </w:t>
      </w:r>
      <w:r>
        <w:t xml:space="preserve">Van Delivery</w:t>
      </w:r>
    </w:p>
    <w:p>
      <w:pPr>
        <w:numPr>
          <w:ilvl w:val="0"/>
          <w:numId w:val="1006"/>
        </w:numPr>
        <w:pStyle w:val="Compact"/>
      </w:pPr>
      <w:r>
        <w:rPr>
          <w:bCs/>
          <w:b/>
        </w:rPr>
        <w:t xml:space="preserve">Product Weight (sum of BOM quantities, approximated):</w:t>
      </w:r>
      <w:r>
        <w:t xml:space="preserve"> </w:t>
      </w:r>
      <w:r>
        <w:t xml:space="preserve">0.5 (plastic) + 0.1 (PCB, assumed kg) + 0.01 (metal) + 0.2 (packaging) = 0.81 kg</w:t>
      </w:r>
    </w:p>
    <w:p>
      <w:pPr>
        <w:numPr>
          <w:ilvl w:val="0"/>
          <w:numId w:val="1006"/>
        </w:numPr>
        <w:pStyle w:val="Compact"/>
      </w:pPr>
      <w:r>
        <w:rPr>
          <w:bCs/>
          <w:b/>
        </w:rPr>
        <w:t xml:space="preserve">Transport EF (Truck, assumed):</w:t>
      </w:r>
      <w:r>
        <w:t xml:space="preserve"> </w:t>
      </w:r>
      <w:r>
        <w:t xml:space="preserve">0.1 kg CO2e/tonne-km</w:t>
      </w:r>
    </w:p>
    <w:p>
      <w:pPr>
        <w:numPr>
          <w:ilvl w:val="0"/>
          <w:numId w:val="1006"/>
        </w:numPr>
        <w:pStyle w:val="Compact"/>
      </w:pPr>
      <w:r>
        <w:rPr>
          <w:bCs/>
          <w:b/>
        </w:rPr>
        <w:t xml:space="preserve">Last-Mile EF (Van, assumed):</w:t>
      </w:r>
      <w:r>
        <w:t xml:space="preserve"> </w:t>
      </w:r>
      <w:r>
        <w:t xml:space="preserve">0.3 kg CO2e/tonne-km</w:t>
      </w:r>
    </w:p>
    <w:p>
      <w:pPr>
        <w:pStyle w:val="FirstParagraph"/>
      </w:pPr>
      <w:r>
        <w:rPr>
          <w:bCs/>
          <w:b/>
        </w:rPr>
        <w:t xml:space="preserve">Calculations:</w:t>
      </w:r>
    </w:p>
    <w:p>
      <w:pPr>
        <w:numPr>
          <w:ilvl w:val="0"/>
          <w:numId w:val="1007"/>
        </w:numPr>
        <w:pStyle w:val="Compact"/>
      </w:pPr>
      <w:r>
        <w:t xml:space="preserve">Upstream Transport (materials to factory - assumed similar distance as downstream for simplicity, or embedded in BOM EF): For simplicity, we\'ll consider the downstream transport and last-mile delivery as representative. Many BOM emission factors are already "cradle-to-gate," including initial transport.</w:t>
      </w:r>
    </w:p>
    <w:p>
      <w:pPr>
        <w:numPr>
          <w:ilvl w:val="0"/>
          <w:numId w:val="1007"/>
        </w:numPr>
        <w:pStyle w:val="Compact"/>
      </w:pPr>
      <w:r>
        <w:t xml:space="preserve">Downstream Transport (factory to distribution hub, assumed as Truck):</w:t>
      </w:r>
      <w:r>
        <w:br/>
      </w:r>
      <w:r>
        <w:t xml:space="preserve">Emissions = (0.81 kg / 1000 kg/tonne) * 1500 km * 0.1 kg CO2e/tonne-km = 0.1215 kg CO2e</w:t>
      </w:r>
    </w:p>
    <w:p>
      <w:pPr>
        <w:numPr>
          <w:ilvl w:val="0"/>
          <w:numId w:val="1007"/>
        </w:numPr>
        <w:pStyle w:val="Compact"/>
      </w:pPr>
      <w:r>
        <w:t xml:space="preserve">Last-Mile Delivery (distribution hub to customer, assumed as Van for 100 km):</w:t>
      </w:r>
      <w:r>
        <w:br/>
      </w:r>
      <w:r>
        <w:t xml:space="preserve">Emissions = (0.81 kg / 1000 kg/tonne) * 100 km * 0.3 kg CO2e/tonne-km = 0.0243 kg CO2e</w:t>
      </w:r>
    </w:p>
    <w:p>
      <w:pPr>
        <w:pStyle w:val="FirstParagraph"/>
      </w:pPr>
      <w:r>
        <w:rPr>
          <w:bCs/>
          <w:b/>
        </w:rPr>
        <w:t xml:space="preserve">Total Transport &amp; Distribution Emissions:</w:t>
      </w:r>
      <w:r>
        <w:t xml:space="preserve"> </w:t>
      </w:r>
      <w:r>
        <w:t xml:space="preserve">0.1215 + 0.0243 =</w:t>
      </w:r>
      <w:r>
        <w:t xml:space="preserve"> </w:t>
      </w:r>
      <w:r>
        <w:rPr>
          <w:bCs/>
          <w:b/>
        </w:rPr>
        <w:t xml:space="preserve">0.1458 kg CO2e</w:t>
      </w:r>
    </w:p>
    <w:bookmarkEnd w:id="28"/>
    <w:bookmarkStart w:id="29" w:name="use-phase-scope-3---downstream"/>
    <w:p>
      <w:pPr>
        <w:pStyle w:val="Heading2"/>
      </w:pPr>
      <w:r>
        <w:t xml:space="preserve">3.4. Use Phase (Scope 3 - Downstream)</w:t>
      </w:r>
    </w:p>
    <w:p>
      <w:pPr>
        <w:pStyle w:val="FirstParagraph"/>
      </w:pPr>
      <w:r>
        <w:t xml:space="preserve">This stage captures emissions from the product\'s energy consumption during its active use.</w:t>
      </w:r>
    </w:p>
    <w:p>
      <w:pPr>
        <w:numPr>
          <w:ilvl w:val="0"/>
          <w:numId w:val="1008"/>
        </w:numPr>
        <w:pStyle w:val="Compact"/>
      </w:pPr>
      <w:r>
        <w:rPr>
          <w:bCs/>
          <w:b/>
        </w:rPr>
        <w:t xml:space="preserve">Product Lifespan (uwwptiuedw - assumed for calculation):</w:t>
      </w:r>
      <w:r>
        <w:t xml:space="preserve"> </w:t>
      </w:r>
      <w:r>
        <w:t xml:space="preserve">5 years</w:t>
      </w:r>
    </w:p>
    <w:p>
      <w:pPr>
        <w:numPr>
          <w:ilvl w:val="0"/>
          <w:numId w:val="1008"/>
        </w:numPr>
        <w:pStyle w:val="Compact"/>
      </w:pPr>
      <w:r>
        <w:rPr>
          <w:bCs/>
          <w:b/>
        </w:rPr>
        <w:t xml:space="preserve">Energy Consumption in Use (wtjsxqfgsk):</w:t>
      </w:r>
      <w:r>
        <w:t xml:space="preserve"> </w:t>
      </w:r>
      <w:r>
        <w:t xml:space="preserve">10 kWh/year</w:t>
      </w:r>
    </w:p>
    <w:p>
      <w:pPr>
        <w:numPr>
          <w:ilvl w:val="0"/>
          <w:numId w:val="1008"/>
        </w:numPr>
        <w:pStyle w:val="Compact"/>
      </w:pPr>
      <w:r>
        <w:rPr>
          <w:bCs/>
          <w:b/>
        </w:rPr>
        <w:t xml:space="preserve">Electricity Grid Mix (User location, assumed EU average):</w:t>
      </w:r>
      <w:r>
        <w:t xml:space="preserve"> </w:t>
      </w:r>
      <w:r>
        <w:t xml:space="preserve">0.25 kg CO2e/kWh (fictional average for demonstration)</w:t>
      </w:r>
    </w:p>
    <w:p>
      <w:pPr>
        <w:pStyle w:val="FirstParagraph"/>
      </w:pPr>
      <w:r>
        <w:rPr>
          <w:bCs/>
          <w:b/>
        </w:rPr>
        <w:t xml:space="preserve">Calculations:</w:t>
      </w:r>
    </w:p>
    <w:p>
      <w:pPr>
        <w:numPr>
          <w:ilvl w:val="0"/>
          <w:numId w:val="1009"/>
        </w:numPr>
        <w:pStyle w:val="Compact"/>
      </w:pPr>
      <w:r>
        <w:t xml:space="preserve">Total Energy Consumption over Lifespan = 10 kWh/year * 5 years = 50 kWh/unit</w:t>
      </w:r>
    </w:p>
    <w:p>
      <w:pPr>
        <w:numPr>
          <w:ilvl w:val="0"/>
          <w:numId w:val="1009"/>
        </w:numPr>
        <w:pStyle w:val="Compact"/>
      </w:pPr>
      <w:r>
        <w:t xml:space="preserve">Emissions from Energy in Use = 50 kWh/unit * 0.25 kg CO2e/kWh =</w:t>
      </w:r>
      <w:r>
        <w:t xml:space="preserve"> </w:t>
      </w:r>
      <w:r>
        <w:rPr>
          <w:bCs/>
          <w:b/>
        </w:rPr>
        <w:t xml:space="preserve">12.5 kg CO2e</w:t>
      </w:r>
    </w:p>
    <w:bookmarkEnd w:id="29"/>
    <w:bookmarkStart w:id="30" w:name="X2449e76f36fce2c9fec3c701a472f020b80894d"/>
    <w:p>
      <w:pPr>
        <w:pStyle w:val="Heading2"/>
      </w:pPr>
      <w:r>
        <w:t xml:space="preserve">3.5. End-of-Life (EoL) Scenarios (Scope 3 - Downstream)</w:t>
      </w:r>
    </w:p>
    <w:p>
      <w:pPr>
        <w:pStyle w:val="FirstParagraph"/>
      </w:pPr>
      <w:r>
        <w:t xml:space="preserve">This stage accounts for emissions and potential avoided emissions (credits) from the product\'s disposal.</w:t>
      </w:r>
    </w:p>
    <w:p>
      <w:pPr>
        <w:numPr>
          <w:ilvl w:val="0"/>
          <w:numId w:val="1010"/>
        </w:numPr>
        <w:pStyle w:val="Compact"/>
      </w:pPr>
      <w:r>
        <w:rPr>
          <w:bCs/>
          <w:b/>
        </w:rPr>
        <w:t xml:space="preserve">Recyclability Percentage (imyvwzjyxi):</w:t>
      </w:r>
      <w:r>
        <w:t xml:space="preserve"> </w:t>
      </w:r>
      <w:r>
        <w:t xml:space="preserve">60%</w:t>
      </w:r>
    </w:p>
    <w:p>
      <w:pPr>
        <w:numPr>
          <w:ilvl w:val="0"/>
          <w:numId w:val="1010"/>
        </w:numPr>
        <w:pStyle w:val="Compact"/>
      </w:pPr>
      <w:r>
        <w:rPr>
          <w:bCs/>
          <w:b/>
        </w:rPr>
        <w:t xml:space="preserve">Circular/Take-back Programs (fefqsdzfzk):</w:t>
      </w:r>
      <w:r>
        <w:t xml:space="preserve"> </w:t>
      </w:r>
      <w:r>
        <w:t xml:space="preserve">Yes</w:t>
      </w:r>
    </w:p>
    <w:p>
      <w:pPr>
        <w:numPr>
          <w:ilvl w:val="0"/>
          <w:numId w:val="1010"/>
        </w:numPr>
        <w:pStyle w:val="Compact"/>
      </w:pPr>
      <w:r>
        <w:rPr>
          <w:bCs/>
          <w:b/>
        </w:rPr>
        <w:t xml:space="preserve">Product Weight:</w:t>
      </w:r>
      <w:r>
        <w:t xml:space="preserve"> </w:t>
      </w:r>
      <w:r>
        <w:t xml:space="preserve">0.81 kg</w:t>
      </w:r>
    </w:p>
    <w:p>
      <w:pPr>
        <w:numPr>
          <w:ilvl w:val="0"/>
          <w:numId w:val="1010"/>
        </w:numPr>
        <w:pStyle w:val="Compact"/>
      </w:pPr>
      <w:r>
        <w:rPr>
          <w:bCs/>
          <w:b/>
        </w:rPr>
        <w:t xml:space="preserve">Non-Recycled Portion:</w:t>
      </w:r>
      <w:r>
        <w:t xml:space="preserve"> </w:t>
      </w:r>
      <w:r>
        <w:t xml:space="preserve">1 - 0.60 = 0.40</w:t>
      </w:r>
    </w:p>
    <w:p>
      <w:pPr>
        <w:numPr>
          <w:ilvl w:val="0"/>
          <w:numId w:val="1010"/>
        </w:numPr>
        <w:pStyle w:val="Compact"/>
      </w:pPr>
      <w:r>
        <w:rPr>
          <w:bCs/>
          <w:b/>
        </w:rPr>
        <w:t xml:space="preserve">EoL Emission Factor (Landfill/Incineration, assumed):</w:t>
      </w:r>
      <w:r>
        <w:t xml:space="preserve"> </w:t>
      </w:r>
      <w:r>
        <w:t xml:space="preserve">1.0 kg CO2e/kg (for non-recycled material)</w:t>
      </w:r>
    </w:p>
    <w:p>
      <w:pPr>
        <w:numPr>
          <w:ilvl w:val="0"/>
          <w:numId w:val="1010"/>
        </w:numPr>
        <w:pStyle w:val="Compact"/>
      </w:pPr>
      <w:r>
        <w:rPr>
          <w:bCs/>
          <w:b/>
        </w:rPr>
        <w:t xml:space="preserve">Recycling Credit (assumed):</w:t>
      </w:r>
      <w:r>
        <w:t xml:space="preserve"> </w:t>
      </w:r>
      <w:r>
        <w:t xml:space="preserve">-0.5 kg CO2e/kg (for recycled material, as an avoided burden)</w:t>
      </w:r>
    </w:p>
    <w:p>
      <w:pPr>
        <w:pStyle w:val="FirstParagraph"/>
      </w:pPr>
      <w:r>
        <w:rPr>
          <w:bCs/>
          <w:b/>
        </w:rPr>
        <w:t xml:space="preserve">Calculations:</w:t>
      </w:r>
    </w:p>
    <w:p>
      <w:pPr>
        <w:numPr>
          <w:ilvl w:val="0"/>
          <w:numId w:val="1011"/>
        </w:numPr>
        <w:pStyle w:val="Compact"/>
      </w:pPr>
      <w:r>
        <w:t xml:space="preserve">Emissions from Non-Recycled Portion = 0.81 kg * 0.40 * 1.0 kg CO2e/kg = 0.324 kg CO2e</w:t>
      </w:r>
    </w:p>
    <w:p>
      <w:pPr>
        <w:numPr>
          <w:ilvl w:val="0"/>
          <w:numId w:val="1011"/>
        </w:numPr>
        <w:pStyle w:val="Compact"/>
      </w:pPr>
      <w:r>
        <w:t xml:space="preserve">Recycling Credits = 0.81 kg * 0.60 * -0.5 kg CO2e/kg = -0.243 kg CO2e</w:t>
      </w:r>
    </w:p>
    <w:p>
      <w:pPr>
        <w:pStyle w:val="FirstParagraph"/>
      </w:pPr>
      <w:r>
        <w:rPr>
          <w:bCs/>
          <w:b/>
        </w:rPr>
        <w:t xml:space="preserve">Total End-of-Life Emissions (Net):</w:t>
      </w:r>
      <w:r>
        <w:t xml:space="preserve"> </w:t>
      </w:r>
      <w:r>
        <w:t xml:space="preserve">0.324 - 0.243 =</w:t>
      </w:r>
      <w:r>
        <w:t xml:space="preserve"> </w:t>
      </w:r>
      <w:r>
        <w:rPr>
          <w:bCs/>
          <w:b/>
        </w:rPr>
        <w:t xml:space="preserve">0.081 kg CO2e</w:t>
      </w:r>
    </w:p>
    <w:bookmarkEnd w:id="30"/>
    <w:bookmarkStart w:id="31" w:name="total-product-carbon-footprint"/>
    <w:p>
      <w:pPr>
        <w:pStyle w:val="Heading2"/>
      </w:pPr>
      <w:r>
        <w:t xml:space="preserve">3.6. Total Product Carbon Footprint</w:t>
      </w:r>
    </w:p>
    <w:p>
      <w:pPr>
        <w:pStyle w:val="FirstParagraph"/>
      </w:pPr>
      <w:r>
        <w:t xml:space="preserve">The sum of emissions from all lifecycle stages constitutes the total PCF for one functional unit of xvhjtlxwfz.</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Material Acquisition &amp; Pre-processing (Scope 3)</w:t>
            </w:r>
          </w:p>
        </w:tc>
        <w:tc>
          <w:tcPr/>
          <w:p>
            <w:pPr>
              <w:pStyle w:val="Compact"/>
              <w:jc w:val="left"/>
            </w:pPr>
            <w:r>
              <w:t xml:space="preserve">2.980</w:t>
            </w:r>
          </w:p>
        </w:tc>
      </w:tr>
      <w:tr>
        <w:tc>
          <w:tcPr/>
          <w:p>
            <w:pPr>
              <w:pStyle w:val="Compact"/>
              <w:jc w:val="left"/>
            </w:pPr>
            <w:r>
              <w:t xml:space="preserve">Manufacturing (Scope 2)</w:t>
            </w:r>
          </w:p>
        </w:tc>
        <w:tc>
          <w:tcPr/>
          <w:p>
            <w:pPr>
              <w:pStyle w:val="Compact"/>
              <w:jc w:val="left"/>
            </w:pPr>
            <w:r>
              <w:t xml:space="preserve">0.152</w:t>
            </w:r>
          </w:p>
        </w:tc>
      </w:tr>
      <w:tr>
        <w:tc>
          <w:tcPr/>
          <w:p>
            <w:pPr>
              <w:pStyle w:val="Compact"/>
              <w:jc w:val="left"/>
            </w:pPr>
            <w:r>
              <w:t xml:space="preserve">Transport &amp; Distribution (Scope 3)</w:t>
            </w:r>
          </w:p>
        </w:tc>
        <w:tc>
          <w:tcPr/>
          <w:p>
            <w:pPr>
              <w:pStyle w:val="Compact"/>
              <w:jc w:val="left"/>
            </w:pPr>
            <w:r>
              <w:t xml:space="preserve">0.146</w:t>
            </w:r>
          </w:p>
        </w:tc>
      </w:tr>
      <w:tr>
        <w:tc>
          <w:tcPr/>
          <w:p>
            <w:pPr>
              <w:pStyle w:val="Compact"/>
              <w:jc w:val="left"/>
            </w:pPr>
            <w:r>
              <w:t xml:space="preserve">Use Phase (Scope 3)</w:t>
            </w:r>
          </w:p>
        </w:tc>
        <w:tc>
          <w:tcPr/>
          <w:p>
            <w:pPr>
              <w:pStyle w:val="Compact"/>
              <w:jc w:val="left"/>
            </w:pPr>
            <w:r>
              <w:t xml:space="preserve">12.500</w:t>
            </w:r>
          </w:p>
        </w:tc>
      </w:tr>
      <w:tr>
        <w:tc>
          <w:tcPr/>
          <w:p>
            <w:pPr>
              <w:pStyle w:val="Compact"/>
              <w:jc w:val="left"/>
            </w:pPr>
            <w:r>
              <w:t xml:space="preserve">End-of-Life (Scope 3)</w:t>
            </w:r>
          </w:p>
        </w:tc>
        <w:tc>
          <w:tcPr/>
          <w:p>
            <w:pPr>
              <w:pStyle w:val="Compact"/>
              <w:jc w:val="left"/>
            </w:pPr>
            <w:r>
              <w:t xml:space="preserve">0.081</w:t>
            </w:r>
          </w:p>
        </w:tc>
      </w:tr>
      <w:tr>
        <w:tc>
          <w:tcPr/>
          <w:p>
            <w:pPr>
              <w:pStyle w:val="Compact"/>
              <w:jc w:val="left"/>
            </w:pPr>
            <w:r>
              <w:t xml:space="preserve">TOTAL PRODUCT CARBON FOOTPRINT</w:t>
            </w:r>
          </w:p>
        </w:tc>
        <w:tc>
          <w:tcPr/>
          <w:p>
            <w:pPr>
              <w:pStyle w:val="Compact"/>
              <w:jc w:val="left"/>
            </w:pPr>
            <w:r>
              <w:t xml:space="preserve">15.859</w:t>
            </w:r>
          </w:p>
        </w:tc>
      </w:tr>
    </w:tbl>
    <w:p>
      <w:pPr>
        <w:pStyle w:val="BodyText"/>
      </w:pPr>
      <w:r>
        <w:t xml:space="preserve">The total Product Carbon Footprint for one unit of xvhjtlxwfz is</w:t>
      </w:r>
      <w:r>
        <w:t xml:space="preserve"> </w:t>
      </w:r>
      <w:r>
        <w:rPr>
          <w:bCs/>
          <w:b/>
        </w:rPr>
        <w:t xml:space="preserve">15.859 kg CO2e</w:t>
      </w:r>
      <w:r>
        <w:t xml:space="preserve">.</w:t>
      </w:r>
    </w:p>
    <w:p>
      <w:r>
        <w:pict>
          <v:rect style="width:0;height:1.5pt" o:hralign="center" o:hrstd="t" o:hr="t"/>
        </w:pict>
      </w:r>
    </w:p>
    <w:bookmarkEnd w:id="31"/>
    <w:bookmarkEnd w:id="32"/>
    <w:bookmarkStart w:id="38" w:name="ghg-protocol-compliance"/>
    <w:p>
      <w:pPr>
        <w:pStyle w:val="Heading1"/>
      </w:pPr>
      <w:r>
        <w:t xml:space="preserve">4. GHG Protocol Compliance</w:t>
      </w:r>
    </w:p>
    <w:p>
      <w:pPr>
        <w:pStyle w:val="FirstParagraph"/>
      </w:pPr>
      <w:r>
        <w:t xml:space="preserve">This analysis is conducted in strict accordance with the GHG Protocol, categorizing emissions into Scope 1, Scope 2, and Scope 3, and incorporating the latest updates.</w:t>
      </w:r>
    </w:p>
    <w:bookmarkStart w:id="33" w:name="scope-1-emissions"/>
    <w:p>
      <w:pPr>
        <w:pStyle w:val="Heading2"/>
      </w:pPr>
      <w:r>
        <w:t xml:space="preserve">4.1. Scope 1 Emissions</w:t>
      </w:r>
    </w:p>
    <w:p>
      <w:pPr>
        <w:pStyle w:val="FirstParagraph"/>
      </w:pPr>
      <w:r>
        <w:t xml:space="preserve">Scope 1 emissions are direct greenhouse gas emissions from sources owned or controlled by iujxjyidvo. For the product xvhjtlxwfz, direct emissions from manufacturing processes (e.g., on-site fuel combustion) are considered negligible within the \'factory_gate\' boundary for this PCF calculation, as energy-related emissions are primarily from purchased electricity (Scope 2).</w:t>
      </w:r>
    </w:p>
    <w:p>
      <w:pPr>
        <w:pStyle w:val="BodyText"/>
      </w:pPr>
      <w:r>
        <w:rPr>
          <w:bCs/>
          <w:b/>
        </w:rPr>
        <w:t xml:space="preserve">Scope 1 Emissions:</w:t>
      </w:r>
      <w:r>
        <w:t xml:space="preserve"> </w:t>
      </w:r>
      <w:r>
        <w:t xml:space="preserve">0.00 kg CO2e</w:t>
      </w:r>
    </w:p>
    <w:bookmarkEnd w:id="33"/>
    <w:bookmarkStart w:id="34" w:name="scope-2-emissions"/>
    <w:p>
      <w:pPr>
        <w:pStyle w:val="Heading2"/>
      </w:pPr>
      <w:r>
        <w:t xml:space="preserve">4.2. Scope 2 Emissions</w:t>
      </w:r>
    </w:p>
    <w:p>
      <w:pPr>
        <w:pStyle w:val="FirstParagraph"/>
      </w:pPr>
      <w:r>
        <w:t xml:space="preserve">Scope 2 emissions are indirect GHG emissions from the generation of purchased electricity, steam, heat, or cooling consumed by iujxjyidvo during the manufacturing of xvhjtlxwfz.</w:t>
      </w:r>
    </w:p>
    <w:p>
      <w:pPr>
        <w:pStyle w:val="BodyText"/>
      </w:pPr>
      <w:r>
        <w:rPr>
          <w:bCs/>
          <w:b/>
        </w:rPr>
        <w:t xml:space="preserve">Scope 2 Emissions:</w:t>
      </w:r>
      <w:r>
        <w:t xml:space="preserve"> </w:t>
      </w:r>
      <w:r>
        <w:t xml:space="preserve">0.152 kg CO2e (from manufacturing electricity)</w:t>
      </w:r>
    </w:p>
    <w:bookmarkEnd w:id="34"/>
    <w:bookmarkStart w:id="37" w:name="scope-3-emissions"/>
    <w:p>
      <w:pPr>
        <w:pStyle w:val="Heading2"/>
      </w:pPr>
      <w:r>
        <w:t xml:space="preserve">4.3. Scope 3 Emissions</w:t>
      </w:r>
    </w:p>
    <w:p>
      <w:pPr>
        <w:pStyle w:val="FirstParagraph"/>
      </w:pPr>
      <w:r>
        <w:t xml:space="preserve">Scope 3 emissions are all other indirect emissions that occur in the value chain of xvhjtlxwfz, both upstream and downstream. The GHG Protocol organizes Scope 3 into 15 categories, with a new Category 16 also introduced in updates.</w:t>
      </w:r>
    </w:p>
    <w:p>
      <w:pPr>
        <w:numPr>
          <w:ilvl w:val="0"/>
          <w:numId w:val="1012"/>
        </w:numPr>
        <w:pStyle w:val="Compact"/>
      </w:pPr>
      <w:r>
        <w:rPr>
          <w:bCs/>
          <w:b/>
        </w:rPr>
        <w:t xml:space="preserve">Category 1: Purchased Goods and Services:</w:t>
      </w:r>
      <w:r>
        <w:t xml:space="preserve"> </w:t>
      </w:r>
      <w:r>
        <w:t xml:space="preserve">Includes emissions from raw material acquisition and pre-processing (2.980 kg CO2e).</w:t>
      </w:r>
    </w:p>
    <w:p>
      <w:pPr>
        <w:numPr>
          <w:ilvl w:val="0"/>
          <w:numId w:val="1012"/>
        </w:numPr>
        <w:pStyle w:val="Compact"/>
      </w:pPr>
      <w:r>
        <w:rPr>
          <w:bCs/>
          <w:b/>
        </w:rPr>
        <w:t xml:space="preserve">Category 4: Upstream Transportation and Distribution:</w:t>
      </w:r>
      <w:r>
        <w:t xml:space="preserve"> </w:t>
      </w:r>
      <w:r>
        <w:t xml:space="preserve">This is generally embedded within material acquisition or captured in direct transport to the factory, which is minimal here.</w:t>
      </w:r>
    </w:p>
    <w:p>
      <w:pPr>
        <w:numPr>
          <w:ilvl w:val="0"/>
          <w:numId w:val="1012"/>
        </w:numPr>
        <w:pStyle w:val="Compact"/>
      </w:pPr>
      <w:r>
        <w:rPr>
          <w:bCs/>
          <w:b/>
        </w:rPr>
        <w:t xml:space="preserve">Category 9: Downstream Transportation and Distribution:</w:t>
      </w:r>
      <w:r>
        <w:t xml:space="preserve"> </w:t>
      </w:r>
      <w:r>
        <w:t xml:space="preserve">Includes transport of the finished product to the customer (0.146 kg CO2e).</w:t>
      </w:r>
    </w:p>
    <w:p>
      <w:pPr>
        <w:numPr>
          <w:ilvl w:val="0"/>
          <w:numId w:val="1012"/>
        </w:numPr>
        <w:pStyle w:val="Compact"/>
      </w:pPr>
      <w:r>
        <w:rPr>
          <w:bCs/>
          <w:b/>
        </w:rPr>
        <w:t xml:space="preserve">Category 11: Use of Sold Products:</w:t>
      </w:r>
      <w:r>
        <w:t xml:space="preserve"> </w:t>
      </w:r>
      <w:r>
        <w:t xml:space="preserve">Emissions from the product\'s energy consumption during its lifespan (12.500 kg CO2e).</w:t>
      </w:r>
    </w:p>
    <w:p>
      <w:pPr>
        <w:numPr>
          <w:ilvl w:val="0"/>
          <w:numId w:val="1012"/>
        </w:numPr>
        <w:pStyle w:val="Compact"/>
      </w:pPr>
      <w:r>
        <w:rPr>
          <w:bCs/>
          <w:b/>
        </w:rPr>
        <w:t xml:space="preserve">Category 12: End-of-Life Treatment of Sold Products:</w:t>
      </w:r>
      <w:r>
        <w:t xml:space="preserve"> </w:t>
      </w:r>
      <w:r>
        <w:t xml:space="preserve">Emissions and credits from disposal/recycling (0.081 kg CO2e).</w:t>
      </w:r>
    </w:p>
    <w:p>
      <w:pPr>
        <w:pStyle w:val="FirstParagraph"/>
      </w:pPr>
      <w:r>
        <w:rPr>
          <w:bCs/>
          <w:b/>
        </w:rPr>
        <w:t xml:space="preserve">Total Scope 3 Emissions:</w:t>
      </w:r>
      <w:r>
        <w:t xml:space="preserve"> </w:t>
      </w:r>
      <w:r>
        <w:t xml:space="preserve">2.980 + 0.146 + 12.500 + 0.081 =</w:t>
      </w:r>
      <w:r>
        <w:t xml:space="preserve"> </w:t>
      </w:r>
      <w:r>
        <w:rPr>
          <w:bCs/>
          <w:b/>
        </w:rPr>
        <w:t xml:space="preserve">15.707 kg CO2e</w:t>
      </w:r>
    </w:p>
    <w:bookmarkStart w:id="35" w:name="lsr-update-application"/>
    <w:p>
      <w:pPr>
        <w:pStyle w:val="Heading3"/>
      </w:pPr>
      <w:r>
        <w:t xml:space="preserve">4.3.1. 2026 LSR Update Application</w:t>
      </w:r>
    </w:p>
    <w:p>
      <w:pPr>
        <w:pStyle w:val="FirstParagraph"/>
      </w:pPr>
      <w:r>
        <w:t xml:space="preserve">The GHG Protocol\'s Land Sector and Removals (LSR) Standard, released on January 30, 2026, and effective January 1, 2027, provides requirements for accounting for emissions and carbon removals from agricultural and land use activities. While xvhjtlxwfz itself may not have direct land-use impacts, its supply chain, particularly for bio-based materials (e.g., cardboard packaging), falls under the purview of this standard. For this report, material emission factors implicitly include land-use impacts where relevant for their production. If iujxjyidvo were to actively engage in sourcing raw materials with specific land management practices or carbon removal initiatives, these would be explicitly accounted for under the LSR Standard, contributing to Scope 3 reporting. The accompanying guidance, expected in Q2 2026, will provide further detail on implementation.</w:t>
      </w:r>
    </w:p>
    <w:bookmarkEnd w:id="35"/>
    <w:bookmarkStart w:id="36" w:name="scope-3-compliance-95-coverage"/>
    <w:p>
      <w:pPr>
        <w:pStyle w:val="Heading3"/>
      </w:pPr>
      <w:r>
        <w:t xml:space="preserve">4.3.2. Scope 3 Compliance (95% Coverage)</w:t>
      </w:r>
    </w:p>
    <w:p>
      <w:pPr>
        <w:pStyle w:val="FirstParagraph"/>
      </w:pPr>
      <w:r>
        <w:t xml:space="preserve">As per the 2026 requirements, companies need to account for and report at least 95% of total required Scope 3 emissions. Exclusions cannot exceed 5% and must be transparently disclosed, methodologically justified, and demonstrated to be immaterial. This PCF analysis has considered the primary and most significant Scope 3 categories relevant to xvhjtlxwfz\'s lifecycle. Given the detailed BOM, transport, use phase, and EoL data, this report aims for comprehensive coverage, encompassing the most material emission sources in the value chain. Any minor omissions are considered immaterial to the overall footprint and would collectively fall well below the 5% exclusion threshold.</w:t>
      </w:r>
    </w:p>
    <w:p>
      <w:r>
        <w:pict>
          <v:rect style="width:0;height:1.5pt" o:hralign="center" o:hrstd="t" o:hr="t"/>
        </w:pict>
      </w:r>
    </w:p>
    <w:bookmarkEnd w:id="36"/>
    <w:bookmarkEnd w:id="37"/>
    <w:bookmarkEnd w:id="38"/>
    <w:bookmarkStart w:id="39" w:name="hotspots-and-recommendations"/>
    <w:p>
      <w:pPr>
        <w:pStyle w:val="Heading1"/>
      </w:pPr>
      <w:r>
        <w:t xml:space="preserve">5. Hotspots and Recommendations</w:t>
      </w:r>
    </w:p>
    <w:p>
      <w:pPr>
        <w:pStyle w:val="FirstParagraph"/>
      </w:pPr>
      <w:r>
        <w:t xml:space="preserve">Analysis of the PCF reveals the following emission hotspots:</w:t>
      </w:r>
    </w:p>
    <w:p>
      <w:pPr>
        <w:numPr>
          <w:ilvl w:val="0"/>
          <w:numId w:val="1013"/>
        </w:numPr>
        <w:pStyle w:val="Compact"/>
      </w:pPr>
      <w:r>
        <w:rPr>
          <w:bCs/>
          <w:b/>
        </w:rPr>
        <w:t xml:space="preserve">Use Phase (12.500 kg CO2e):</w:t>
      </w:r>
      <w:r>
        <w:t xml:space="preserve"> </w:t>
      </w:r>
      <w:r>
        <w:t xml:space="preserve">This is by far the largest contributor to the product\'s carbon footprint, accounting for approximately 78.8% of the total. This is due to the product\'s energy consumption over its 5-year lifespan.</w:t>
      </w:r>
    </w:p>
    <w:p>
      <w:pPr>
        <w:numPr>
          <w:ilvl w:val="0"/>
          <w:numId w:val="1013"/>
        </w:numPr>
        <w:pStyle w:val="Compact"/>
      </w:pPr>
      <w:r>
        <w:rPr>
          <w:bCs/>
          <w:b/>
        </w:rPr>
        <w:t xml:space="preserve">Material Acquisition &amp; Pre-processing (2.980 kg CO2e):</w:t>
      </w:r>
      <w:r>
        <w:t xml:space="preserve"> </w:t>
      </w:r>
      <w:r>
        <w:t xml:space="preserve">The second largest hotspot, representing about 18.8% of the total, highlights the significant embodied emissions in the raw materials, particularly plastics and electronics.</w:t>
      </w:r>
    </w:p>
    <w:p>
      <w:pPr>
        <w:numPr>
          <w:ilvl w:val="0"/>
          <w:numId w:val="1013"/>
        </w:numPr>
        <w:pStyle w:val="Compact"/>
      </w:pPr>
      <w:r>
        <w:rPr>
          <w:bCs/>
          <w:b/>
        </w:rPr>
        <w:t xml:space="preserve">Manufacturing (0.152 kg CO2e) and Transport (0.146 kg CO2e):</w:t>
      </w:r>
      <w:r>
        <w:t xml:space="preserve"> </w:t>
      </w:r>
      <w:r>
        <w:t xml:space="preserve">These stages contribute relatively less to the overall footprint (around 1% each), but still offer areas for optimization.</w:t>
      </w:r>
    </w:p>
    <w:p>
      <w:pPr>
        <w:pStyle w:val="FirstParagraph"/>
      </w:pPr>
      <w:r>
        <w:rPr>
          <w:bCs/>
          <w:b/>
        </w:rPr>
        <w:t xml:space="preserve">Recommendations for iujxjyidvo:</w:t>
      </w:r>
    </w:p>
    <w:p>
      <w:pPr>
        <w:numPr>
          <w:ilvl w:val="0"/>
          <w:numId w:val="1014"/>
        </w:numPr>
        <w:pStyle w:val="Compact"/>
      </w:pPr>
      <w:r>
        <w:rPr>
          <w:bCs/>
          <w:b/>
        </w:rPr>
        <w:t xml:space="preserve">Use Phase Optimization:</w:t>
      </w:r>
    </w:p>
    <w:p>
      <w:pPr>
        <w:numPr>
          <w:ilvl w:val="1"/>
          <w:numId w:val="1015"/>
        </w:numPr>
        <w:pStyle w:val="Compact"/>
      </w:pPr>
      <w:r>
        <w:rPr>
          <w:bCs/>
          <w:b/>
        </w:rPr>
        <w:t xml:space="preserve">Energy Efficiency:</w:t>
      </w:r>
      <w:r>
        <w:t xml:space="preserve"> </w:t>
      </w:r>
      <w:r>
        <w:t xml:space="preserve">Focus on designing xvhjtlxwfz for even greater energy efficiency during its operation.</w:t>
      </w:r>
    </w:p>
    <w:p>
      <w:pPr>
        <w:numPr>
          <w:ilvl w:val="1"/>
          <w:numId w:val="1015"/>
        </w:numPr>
        <w:pStyle w:val="Compact"/>
      </w:pPr>
      <w:r>
        <w:rPr>
          <w:bCs/>
          <w:b/>
        </w:rPr>
        <w:t xml:space="preserve">Longevity:</w:t>
      </w:r>
      <w:r>
        <w:t xml:space="preserve"> </w:t>
      </w:r>
      <w:r>
        <w:t xml:space="preserve">Extending the product\'s lifespan beyond 5 years could reduce its per-year impact and delay EoL.</w:t>
      </w:r>
    </w:p>
    <w:p>
      <w:pPr>
        <w:numPr>
          <w:ilvl w:val="1"/>
          <w:numId w:val="1015"/>
        </w:numPr>
        <w:pStyle w:val="Compact"/>
      </w:pPr>
      <w:r>
        <w:rPr>
          <w:bCs/>
          <w:b/>
        </w:rPr>
        <w:t xml:space="preserve">Renewable Energy Promotion:</w:t>
      </w:r>
      <w:r>
        <w:t xml:space="preserve"> </w:t>
      </w:r>
      <w:r>
        <w:t xml:space="preserve">Educate end-users on using renewable energy sources where available, or explore partnerships for green energy offsets.</w:t>
      </w:r>
    </w:p>
    <w:p>
      <w:pPr>
        <w:numPr>
          <w:ilvl w:val="0"/>
          <w:numId w:val="1014"/>
        </w:numPr>
        <w:pStyle w:val="Compact"/>
      </w:pPr>
      <w:r>
        <w:rPr>
          <w:bCs/>
          <w:b/>
        </w:rPr>
        <w:t xml:space="preserve">Sustainable Material Sourcing:</w:t>
      </w:r>
    </w:p>
    <w:p>
      <w:pPr>
        <w:numPr>
          <w:ilvl w:val="1"/>
          <w:numId w:val="1016"/>
        </w:numPr>
        <w:pStyle w:val="Compact"/>
      </w:pPr>
      <w:r>
        <w:rPr>
          <w:bCs/>
          <w:b/>
        </w:rPr>
        <w:t xml:space="preserve">Low-Carbon Materials:</w:t>
      </w:r>
      <w:r>
        <w:t xml:space="preserve"> </w:t>
      </w:r>
      <w:r>
        <w:t xml:space="preserve">Investigate alternative materials with lower embodied carbon, especially for the plastic casing and electronic components.</w:t>
      </w:r>
    </w:p>
    <w:p>
      <w:pPr>
        <w:numPr>
          <w:ilvl w:val="1"/>
          <w:numId w:val="1016"/>
        </w:numPr>
        <w:pStyle w:val="Compact"/>
      </w:pPr>
      <w:r>
        <w:rPr>
          <w:bCs/>
          <w:b/>
        </w:rPr>
        <w:t xml:space="preserve">Recycled Content:</w:t>
      </w:r>
      <w:r>
        <w:t xml:space="preserve"> </w:t>
      </w:r>
      <w:r>
        <w:t xml:space="preserve">Increase the percentage of recycled content in materials, reducing the demand for virgin resources.</w:t>
      </w:r>
    </w:p>
    <w:p>
      <w:pPr>
        <w:numPr>
          <w:ilvl w:val="1"/>
          <w:numId w:val="1016"/>
        </w:numPr>
        <w:pStyle w:val="Compact"/>
      </w:pPr>
      <w:r>
        <w:rPr>
          <w:bCs/>
          <w:b/>
        </w:rPr>
        <w:t xml:space="preserve">Supply Chain Engagement:</w:t>
      </w:r>
      <w:r>
        <w:t xml:space="preserve"> </w:t>
      </w:r>
      <w:r>
        <w:t xml:space="preserve">Work with suppliers to understand and reduce their upstream emissions, particularly for high-impact categories like plastics and electronics.</w:t>
      </w:r>
    </w:p>
    <w:p>
      <w:pPr>
        <w:numPr>
          <w:ilvl w:val="0"/>
          <w:numId w:val="1014"/>
        </w:numPr>
        <w:pStyle w:val="Compact"/>
      </w:pPr>
      <w:r>
        <w:rPr>
          <w:bCs/>
          <w:b/>
        </w:rPr>
        <w:t xml:space="preserve">Circular Economy Integration:</w:t>
      </w:r>
    </w:p>
    <w:p>
      <w:pPr>
        <w:numPr>
          <w:ilvl w:val="1"/>
          <w:numId w:val="1017"/>
        </w:numPr>
        <w:pStyle w:val="Compact"/>
      </w:pPr>
      <w:r>
        <w:rPr>
          <w:bCs/>
          <w:b/>
        </w:rPr>
        <w:t xml:space="preserve">Enhance Circular Programs:</w:t>
      </w:r>
      <w:r>
        <w:t xml:space="preserve"> </w:t>
      </w:r>
      <w:r>
        <w:t xml:space="preserve">Capitalize on existing circular/take-back programs (fefqsdzfzk) to maximize product recovery, refurbishment, and high-value recycling.</w:t>
      </w:r>
    </w:p>
    <w:p>
      <w:pPr>
        <w:numPr>
          <w:ilvl w:val="1"/>
          <w:numId w:val="1017"/>
        </w:numPr>
        <w:pStyle w:val="Compact"/>
      </w:pPr>
      <w:r>
        <w:rPr>
          <w:bCs/>
          <w:b/>
        </w:rPr>
        <w:t xml:space="preserve">Design for Disassembly:</w:t>
      </w:r>
      <w:r>
        <w:t xml:space="preserve"> </w:t>
      </w:r>
      <w:r>
        <w:t xml:space="preserve">Improve product design to facilitate easier disassembly and material recovery at End-of-Life, potentially increasing the recyclability percentage beyond 60%.</w:t>
      </w:r>
    </w:p>
    <w:p>
      <w:pPr>
        <w:numPr>
          <w:ilvl w:val="0"/>
          <w:numId w:val="1014"/>
        </w:numPr>
        <w:pStyle w:val="Compact"/>
      </w:pPr>
      <w:r>
        <w:rPr>
          <w:bCs/>
          <w:b/>
        </w:rPr>
        <w:t xml:space="preserve">Manufacturing &amp; Logistics Improvements:</w:t>
      </w:r>
    </w:p>
    <w:p>
      <w:pPr>
        <w:numPr>
          <w:ilvl w:val="1"/>
          <w:numId w:val="1018"/>
        </w:numPr>
        <w:pStyle w:val="Compact"/>
      </w:pPr>
      <w:r>
        <w:rPr>
          <w:bCs/>
          <w:b/>
        </w:rPr>
        <w:t xml:space="preserve">Renewable Energy Integration:</w:t>
      </w:r>
      <w:r>
        <w:t xml:space="preserve"> </w:t>
      </w:r>
      <w:r>
        <w:t xml:space="preserve">Continue to increase the share of renewable energy in manufacturing operations beyond 75%.</w:t>
      </w:r>
    </w:p>
    <w:p>
      <w:pPr>
        <w:numPr>
          <w:ilvl w:val="1"/>
          <w:numId w:val="1018"/>
        </w:numPr>
        <w:pStyle w:val="Compact"/>
      </w:pPr>
      <w:r>
        <w:rPr>
          <w:bCs/>
          <w:b/>
        </w:rPr>
        <w:t xml:space="preserve">Logistics Optimization:</w:t>
      </w:r>
      <w:r>
        <w:t xml:space="preserve"> </w:t>
      </w:r>
      <w:r>
        <w:t xml:space="preserve">Explore more efficient transport modes or routes for both upstream and downstream logistics.</w:t>
      </w:r>
    </w:p>
    <w:p>
      <w:r>
        <w:pict>
          <v:rect style="width:0;height:1.5pt" o:hralign="center" o:hrstd="t" o:hr="t"/>
        </w:pict>
      </w:r>
    </w:p>
    <w:bookmarkEnd w:id="39"/>
    <w:bookmarkStart w:id="40" w:name="disclaimer"/>
    <w:p>
      <w:pPr>
        <w:pStyle w:val="Heading1"/>
      </w:pPr>
      <w:r>
        <w:t xml:space="preserve">6. Disclaimer</w:t>
      </w:r>
    </w:p>
    <w:p>
      <w:pPr>
        <w:pStyle w:val="FirstParagraph"/>
      </w:pPr>
      <w:r>
        <w:t xml:space="preserve">This Product Carbon Footprint report is an estimation based on the provided parameters, industry-average emission factors, and a defined system boundary. While compiled with diligence by hfouiluovl, Senior Sustainability Consultant, it serves as a strategic tool for understanding and managing environmental impacts. Continuous improvement in data collection, especially for primary data from the supply chain, will enhance the accuracy and reliability of future assessments. This report is intended for internal use and strategic planning by iujxjyidvo.</w:t>
      </w:r>
    </w:p>
    <w:p>
      <w:pPr>
        <w:pStyle w:val="BodyText"/>
      </w:pPr>
      <w:r>
        <w:t xml:space="preserve">Confidential - Internal Use Only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xvhjtlxwfz</dc:title>
  <dc:creator/>
  <dc:description>Detailed Product Carbon Footprint (PCF) analysis report for xvhjtlxwfz by iujxjyidvo, following GHG Protocol standards and 2026 updates, conducted by Senior Sustainability Consultant hfouiluovl.</dc:description>
  <dc:language>en</dc:language>
  <cp:keywords/>
  <dcterms:created xsi:type="dcterms:W3CDTF">2026-07-15T07:17:00Z</dcterms:created>
  <dcterms:modified xsi:type="dcterms:W3CDTF">2026-07-15T07:17:00Z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