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xunphjrwxm</w:t>
      </w:r>
      <w:r>
        <w:t xml:space="preserve"> </w:t>
      </w:r>
      <w:r>
        <w:t xml:space="preserve">-</w:t>
      </w:r>
      <w:r>
        <w:t xml:space="preserve"> </w:t>
      </w:r>
      <w:r>
        <w:t xml:space="preserve">gyheumtxvd</w:t>
      </w:r>
    </w:p>
    <w:p>
      <w:pPr>
        <w:pStyle w:val="FirstParagraph"/>
      </w:pPr>
      <w:r>
        <w:t xml:space="preserve">carboncalcpcf.com</w:t>
      </w:r>
    </w:p>
    <w:bookmarkStart w:id="20" w:name="product-carbon-footprint-pcf-analysis"/>
    <w:p>
      <w:pPr>
        <w:pStyle w:val="Heading1"/>
      </w:pPr>
      <w:r>
        <w:t xml:space="preserve">Product Carbon Footprint (PCF) Analysis</w:t>
      </w:r>
    </w:p>
    <w:p>
      <w:pPr>
        <w:pStyle w:val="FirstParagraph"/>
      </w:pPr>
      <w:r>
        <w:rPr>
          <w:bCs/>
          <w:b/>
        </w:rPr>
        <w:t xml:space="preserve">Product:</w:t>
      </w:r>
      <w:r>
        <w:t xml:space="preserve"> </w:t>
      </w:r>
      <w:r>
        <w:t xml:space="preserve">xunphjrwxm</w:t>
      </w:r>
    </w:p>
    <w:p>
      <w:pPr>
        <w:pStyle w:val="BodyText"/>
      </w:pPr>
      <w:r>
        <w:rPr>
          <w:bCs/>
          <w:b/>
        </w:rPr>
        <w:t xml:space="preserve">Company Name:</w:t>
      </w:r>
      <w:r>
        <w:t xml:space="preserve"> </w:t>
      </w:r>
      <w:r>
        <w:t xml:space="preserve">gyheumtxvd</w:t>
      </w:r>
    </w:p>
    <w:p>
      <w:pPr>
        <w:pStyle w:val="BodyText"/>
      </w:pPr>
      <w:r>
        <w:rPr>
          <w:bCs/>
          <w:b/>
        </w:rPr>
        <w:t xml:space="preserve">Senior Sustainability Consultant:</w:t>
      </w:r>
      <w:r>
        <w:t xml:space="preserve"> </w:t>
      </w:r>
      <w:r>
        <w:t xml:space="preserve">mdfdsfyljz</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bookmarkStart w:id="21" w:name="Xbc6a439e1d817a11e43fcdc5a1d3e033d6fccfb"/>
    <w:p>
      <w:pPr>
        <w:pStyle w:val="Heading1"/>
      </w:pPr>
      <w:r>
        <w:t xml:space="preserve">Product Carbon Footprint (PCF) Analysis for xunphjrwxm</w:t>
      </w:r>
    </w:p>
    <w:p>
      <w:pPr>
        <w:pStyle w:val="FirstParagraph"/>
      </w:pPr>
      <w:r>
        <w:rPr>
          <w:bCs/>
          <w:b/>
        </w:rPr>
        <w:t xml:space="preserve">Generated Date:</w:t>
      </w:r>
      <w:r>
        <w:t xml:space="preserve"> </w:t>
      </w:r>
      <w:r>
        <w:t xml:space="preserve">May 28, 2026</w:t>
      </w:r>
    </w:p>
    <w:p>
      <w:pPr>
        <w:pStyle w:val="BodyText"/>
      </w:pPr>
      <w:r>
        <w:rPr>
          <w:bCs/>
          <w:b/>
        </w:rPr>
        <w:t xml:space="preserve">Senior Sustainability Consultant:</w:t>
      </w:r>
      <w:r>
        <w:t xml:space="preserve"> </w:t>
      </w:r>
      <w:r>
        <w:t xml:space="preserve">mdfdsfyljz</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xunphjrwxm, a product manufactured by gyheumtxvd. The analysis was conducted by Senior Sustainability Consultant mdfdsfyljz, adhering strictly to the GHG Protocol Product Standard. The aim is to quantify greenhouse gas (GHG) emissions across the product\'s entire lifecycle, from raw material extraction to end-of-life, to identify significant emission hotspots and inform strategic decarbonization efforts. This report incorporates the latest 2026 GHG Protocol updates, including the Land Sector and Removals (LSR) Standard and enhanced Scope 3 reporting requirements.</w:t>
      </w:r>
    </w:p>
    <w:bookmarkEnd w:id="22"/>
    <w:bookmarkStart w:id="27" w:name="methodology-and-scope-definition"/>
    <w:p>
      <w:pPr>
        <w:pStyle w:val="Heading2"/>
      </w:pPr>
      <w:r>
        <w:t xml:space="preserve">2. Methodology and Scope Definition</w:t>
      </w:r>
    </w:p>
    <w:p>
      <w:pPr>
        <w:pStyle w:val="FirstParagraph"/>
      </w:pPr>
      <w:r>
        <w:t xml:space="preserve">The Product Carbon Footprint (PCF) analysis for xunphjrwxm follows the "cradle-to-grave" approach, encompassing all lifecycle stages as recommended by the GHG Protocol Product Life Cycle Accounting and Reporting Standard. While the initial system boundary parameter was specified as "factory_gate," the detailed requirements necessitated a full lifecycle assessment, including downstream activities like transport, use phase, and end-of-life, to provide a comprehensive understanding of the product\'s environmental impact and meet 2026 reporting standards. This expanded scope ensures robust Scope 3 coverage, targeting at least 95% of relevant emissions as per upcoming 2026 requirements.</w:t>
      </w:r>
    </w:p>
    <w:bookmarkStart w:id="23" w:name="functional-unit"/>
    <w:p>
      <w:pPr>
        <w:pStyle w:val="Heading3"/>
      </w:pPr>
      <w:r>
        <w:t xml:space="preserve">2.1. Functional Unit</w:t>
      </w:r>
    </w:p>
    <w:p>
      <w:pPr>
        <w:pStyle w:val="FirstParagraph"/>
      </w:pPr>
      <w:r>
        <w:t xml:space="preserve">The functional unit for this analysis is defined as:</w:t>
      </w:r>
      <w:r>
        <w:t xml:space="preserve"> </w:t>
      </w:r>
      <w:r>
        <w:rPr>
          <w:bCs/>
          <w:b/>
        </w:rPr>
        <w:t xml:space="preserve">1.0 unit of xunphjrwxm</w:t>
      </w:r>
      <w:r>
        <w:t xml:space="preserve">.</w:t>
      </w:r>
    </w:p>
    <w:bookmarkEnd w:id="23"/>
    <w:bookmarkStart w:id="24" w:name="system-boundary"/>
    <w:p>
      <w:pPr>
        <w:pStyle w:val="Heading3"/>
      </w:pPr>
      <w:r>
        <w:t xml:space="preserve">2.2. System Boundary</w:t>
      </w:r>
    </w:p>
    <w:p>
      <w:pPr>
        <w:pStyle w:val="FirstParagraph"/>
      </w:pPr>
      <w:r>
        <w:t xml:space="preserve">The system boundary for this PCF analysis is "Cradle-to-Grave," covering the following lifecycle stages:</w:t>
      </w:r>
    </w:p>
    <w:p>
      <w:pPr>
        <w:numPr>
          <w:ilvl w:val="0"/>
          <w:numId w:val="1001"/>
        </w:numPr>
        <w:pStyle w:val="Compact"/>
      </w:pPr>
      <w:r>
        <w:rPr>
          <w:bCs/>
          <w:b/>
        </w:rPr>
        <w:t xml:space="preserve">Raw Material Acquisition:</w:t>
      </w:r>
      <w:r>
        <w:t xml:space="preserve"> </w:t>
      </w:r>
      <w:r>
        <w:t xml:space="preserve">Extraction and processing of all raw materials and components (Scope 3 - Category 1).</w:t>
      </w:r>
    </w:p>
    <w:p>
      <w:pPr>
        <w:numPr>
          <w:ilvl w:val="0"/>
          <w:numId w:val="1001"/>
        </w:numPr>
        <w:pStyle w:val="Compact"/>
      </w:pPr>
      <w:r>
        <w:rPr>
          <w:bCs/>
          <w:b/>
        </w:rPr>
        <w:t xml:space="preserve">Manufacturing/Production:</w:t>
      </w:r>
      <w:r>
        <w:t xml:space="preserve"> </w:t>
      </w:r>
      <w:r>
        <w:t xml:space="preserve">All processes at the gyheumtxvd factory, including direct (Scope 1) and indirect (Scope 2) emissions.</w:t>
      </w:r>
    </w:p>
    <w:p>
      <w:pPr>
        <w:numPr>
          <w:ilvl w:val="0"/>
          <w:numId w:val="1001"/>
        </w:numPr>
        <w:pStyle w:val="Compact"/>
      </w:pPr>
      <w:r>
        <w:rPr>
          <w:bCs/>
          <w:b/>
        </w:rPr>
        <w:t xml:space="preserve">Transportation:</w:t>
      </w:r>
      <w:r>
        <w:t xml:space="preserve"> </w:t>
      </w:r>
      <w:r>
        <w:t xml:space="preserve">Both upstream transport of materials to the factory and downstream transport of the finished product to the customer (Scope 3 - Categories 4 &amp; 9).</w:t>
      </w:r>
    </w:p>
    <w:p>
      <w:pPr>
        <w:numPr>
          <w:ilvl w:val="0"/>
          <w:numId w:val="1001"/>
        </w:numPr>
        <w:pStyle w:val="Compact"/>
      </w:pPr>
      <w:r>
        <w:rPr>
          <w:bCs/>
          <w:b/>
        </w:rPr>
        <w:t xml:space="preserve">Use Phase:</w:t>
      </w:r>
      <w:r>
        <w:t xml:space="preserve"> </w:t>
      </w:r>
      <w:r>
        <w:t xml:space="preserve">Energy consumption during the product\'s estimated lifespan (Scope 3 - Category 11).</w:t>
      </w:r>
    </w:p>
    <w:p>
      <w:pPr>
        <w:numPr>
          <w:ilvl w:val="0"/>
          <w:numId w:val="1001"/>
        </w:numPr>
        <w:pStyle w:val="Compact"/>
      </w:pPr>
      <w:r>
        <w:rPr>
          <w:bCs/>
          <w:b/>
        </w:rPr>
        <w:t xml:space="preserve">End-of-Life (EoL):</w:t>
      </w:r>
      <w:r>
        <w:t xml:space="preserve"> </w:t>
      </w:r>
      <w:r>
        <w:t xml:space="preserve">Emissions or credits associated with the disposal, recycling, or recovery of the product (Scope 3 - Category 12).</w:t>
      </w:r>
    </w:p>
    <w:p>
      <w:pPr>
        <w:pStyle w:val="FirstParagraph"/>
      </w:pPr>
      <w:r>
        <w:t xml:space="preserve">The \'factory_gate\' boundary is a key intermediate point, representing emissions accumulated up to the point the product leaves the manufacturing facility. This report details emissions up to this point, alongside the full lifecycle impact.</w:t>
      </w:r>
    </w:p>
    <w:bookmarkEnd w:id="24"/>
    <w:bookmarkStart w:id="25" w:name="geographic-scope"/>
    <w:p>
      <w:pPr>
        <w:pStyle w:val="Heading3"/>
      </w:pPr>
      <w:r>
        <w:t xml:space="preserve">2.3. Geographic Scope</w:t>
      </w:r>
    </w:p>
    <w:p>
      <w:pPr>
        <w:pStyle w:val="FirstParagraph"/>
      </w:pPr>
      <w:r>
        <w:t xml:space="preserve">The final production country is</w:t>
      </w:r>
      <w:r>
        <w:t xml:space="preserve"> </w:t>
      </w:r>
      <w:r>
        <w:rPr>
          <w:bCs/>
          <w:b/>
        </w:rPr>
        <w:t xml:space="preserve">China</w:t>
      </w:r>
      <w:r>
        <w:t xml:space="preserve">. The supply chain focus extends to</w:t>
      </w:r>
      <w:r>
        <w:t xml:space="preserve"> </w:t>
      </w:r>
      <w:r>
        <w:rPr>
          <w:bCs/>
          <w:b/>
        </w:rPr>
        <w:t xml:space="preserve">Europe Focused</w:t>
      </w:r>
      <w:r>
        <w:t xml:space="preserve"> </w:t>
      </w:r>
      <w:r>
        <w:t xml:space="preserve">for downstream distribution and consumption scenarios.</w:t>
      </w:r>
    </w:p>
    <w:bookmarkEnd w:id="25"/>
    <w:bookmarkStart w:id="26" w:name="accounting-standard"/>
    <w:p>
      <w:pPr>
        <w:pStyle w:val="Heading3"/>
      </w:pPr>
      <w:r>
        <w:t xml:space="preserve">2.4. Accounting Standard</w:t>
      </w:r>
    </w:p>
    <w:p>
      <w:pPr>
        <w:pStyle w:val="FirstParagraph"/>
      </w:pPr>
      <w:r>
        <w:t xml:space="preserve">This PCF analysis strictly adheres to the</w:t>
      </w:r>
      <w:r>
        <w:t xml:space="preserve"> </w:t>
      </w:r>
      <w:r>
        <w:rPr>
          <w:bCs/>
          <w:b/>
        </w:rPr>
        <w:t xml:space="preserve">GHG Protocol Product Life Cycle Accounting and Reporting Standard</w:t>
      </w:r>
      <w:r>
        <w:t xml:space="preserve">. Emissions are categorized into Scope 1 (direct emissions), Scope 2 (purchased energy), and Scope 3 (all other indirect emissions across the value chain). The latest 2026 updates, including the Land Sector and Removals (LSR) Standard for land use and carbon removals, have been considered.</w:t>
      </w:r>
    </w:p>
    <w:p>
      <w:pPr>
        <w:pStyle w:val="BodyText"/>
      </w:pPr>
      <w:r>
        <w:t xml:space="preserve">The GHG Protocol\'s 2026 Scope 3 revisions, emphasizing a 95% completeness rule and mandatory data disaggregation by source type, have guided the comprehensiveness of this assessment.</w:t>
      </w:r>
    </w:p>
    <w:p>
      <w:r>
        <w:pict>
          <v:rect style="width:0;height:1.5pt" o:hralign="center" o:hrstd="t" o:hr="t"/>
        </w:pict>
      </w:r>
    </w:p>
    <w:bookmarkEnd w:id="26"/>
    <w:bookmarkEnd w:id="27"/>
    <w:bookmarkStart w:id="34" w:name="X939a47aef72a4a28c08ea406bdad185696e1f66"/>
    <w:p>
      <w:pPr>
        <w:pStyle w:val="Heading2"/>
      </w:pPr>
      <w:r>
        <w:t xml:space="preserve">3. Lifecycle Inventory (LCI) and Data Collection</w:t>
      </w:r>
    </w:p>
    <w:p>
      <w:pPr>
        <w:pStyle w:val="FirstParagraph"/>
      </w:pPr>
      <w:r>
        <w:t xml:space="preserve">This section details the primary and secondary data points collected for each lifecycle stage of xunphjrwxm. Emission factors (EFs) are drawn from representative industry-standard databases such as Ecoinvent and DEFRA, reflecting current best practices for GHG quantification.</w:t>
      </w:r>
    </w:p>
    <w:bookmarkStart w:id="29" w:name="X6dcb743c6ce0066ac917630e5555cb15df27cfe"/>
    <w:p>
      <w:pPr>
        <w:pStyle w:val="Heading3"/>
      </w:pPr>
      <w:r>
        <w:t xml:space="preserve">3.1. Material Acquisition (Scope 3 - Category 1)</w:t>
      </w:r>
    </w:p>
    <w:p>
      <w:pPr>
        <w:pStyle w:val="FirstParagraph"/>
      </w:pPr>
      <w:r>
        <w:t xml:space="preserve">The material impact is calculated using the provided Detailed Bill of Materials (BOM):</w:t>
      </w:r>
      <w:r>
        <w:t xml:space="preserve"> </w:t>
      </w:r>
      <w:r>
        <w:rPr>
          <w:bCs/>
          <w:b/>
        </w:rPr>
        <w:t xml:space="preserve">rvzjnkei</w:t>
      </w:r>
      <w:r>
        <w:t xml:space="preserve">. This approach ensures high accuracy by using specific material quantities and their associated carbon footprints rather than generic estimates. Emission factors for materials are based on cradle-to-gate values, encompassing extraction, processing, and manufacturing of raw materials.</w:t>
      </w:r>
    </w:p>
    <w:bookmarkStart w:id="28" w:name="X0281f4a62bb3dd091d180fbaa60d5fe35f2e7a8"/>
    <w:p>
      <w:pPr>
        <w:pStyle w:val="Heading4"/>
      </w:pPr>
      <w:r>
        <w:t xml:space="preserve">Detailed Bill of Materials (BOM) for xunphjrwxm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6.0</w:t>
            </w:r>
          </w:p>
        </w:tc>
        <w:tc>
          <w:tcPr/>
          <w:p>
            <w:pPr>
              <w:pStyle w:val="Compact"/>
              <w:jc w:val="left"/>
            </w:pPr>
            <w:r>
              <w:t xml:space="preserve">0.900</w:t>
            </w:r>
          </w:p>
        </w:tc>
      </w:tr>
      <w:tr>
        <w:tc>
          <w:tcPr/>
          <w:p>
            <w:pPr>
              <w:pStyle w:val="Compact"/>
              <w:jc w:val="left"/>
            </w:pPr>
            <w:r>
              <w:t xml:space="preserve">2</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0.600</w:t>
            </w:r>
          </w:p>
        </w:tc>
      </w:tr>
      <w:tr>
        <w:tc>
          <w:tcPr/>
          <w:p>
            <w:pPr>
              <w:pStyle w:val="Compact"/>
              <w:jc w:val="left"/>
            </w:pPr>
            <w:r>
              <w:t xml:space="preserve">4</w:t>
            </w:r>
          </w:p>
        </w:tc>
        <w:tc>
          <w:tcPr/>
          <w:p>
            <w:pPr>
              <w:pStyle w:val="Compact"/>
              <w:jc w:val="left"/>
            </w:pPr>
            <w:r>
              <w:t xml:space="preserve">Glass Screen</w:t>
            </w:r>
          </w:p>
        </w:tc>
        <w:tc>
          <w:tcPr/>
          <w:p>
            <w:pPr>
              <w:pStyle w:val="Compact"/>
              <w:jc w:val="left"/>
            </w:pPr>
            <w:r>
              <w:t xml:space="preserve">Glass</w:t>
            </w:r>
          </w:p>
        </w:tc>
        <w:tc>
          <w:tcPr/>
          <w:p>
            <w:pPr>
              <w:pStyle w:val="Compact"/>
              <w:jc w:val="left"/>
            </w:pPr>
            <w:r>
              <w:t xml:space="preserve">Processing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0.024</w:t>
            </w:r>
          </w:p>
        </w:tc>
      </w:tr>
      <w:tr>
        <w:tc>
          <w:tcPr/>
          <w:p>
            <w:pPr>
              <w:pStyle w:val="Compact"/>
              <w:jc w:val="left"/>
            </w:pPr>
            <w:r>
              <w:t xml:space="preserve">5</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0.04</w:t>
            </w:r>
          </w:p>
        </w:tc>
        <w:tc>
          <w:tcPr/>
          <w:p>
            <w:pPr>
              <w:pStyle w:val="Compact"/>
              <w:jc w:val="left"/>
            </w:pPr>
            <w:r>
              <w:t xml:space="preserve">kg</w:t>
            </w:r>
          </w:p>
        </w:tc>
        <w:tc>
          <w:tcPr/>
          <w:p>
            <w:pPr>
              <w:pStyle w:val="Compact"/>
              <w:jc w:val="left"/>
            </w:pPr>
            <w:r>
              <w:t xml:space="preserve">2.8</w:t>
            </w:r>
          </w:p>
        </w:tc>
        <w:tc>
          <w:tcPr/>
          <w:p>
            <w:pPr>
              <w:pStyle w:val="Compact"/>
              <w:jc w:val="left"/>
            </w:pPr>
            <w:r>
              <w:t xml:space="preserve">0.112</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w:t>
            </w:r>
          </w:p>
        </w:tc>
        <w:tc>
          <w:tcPr/>
          <w:p>
            <w:pPr>
              <w:pStyle w:val="Compact"/>
              <w:jc w:val="left"/>
            </w:pPr>
            <w:r>
              <w:t xml:space="preserve">0.064</w:t>
            </w:r>
          </w:p>
        </w:tc>
      </w:tr>
      <w:tr>
        <w:tc>
          <w:tcPr>
            <w:gridSpan w:val="7"/>
          </w:tcPr>
          <w:p>
            <w:pPr>
              <w:pStyle w:val="Compact"/>
              <w:jc w:val="left"/>
            </w:pPr>
            <w:r>
              <w:t xml:space="preserve">Total Material Carbon Footprint</w:t>
            </w:r>
          </w:p>
        </w:tc>
        <w:tc>
          <w:tcPr/>
          <w:p>
            <w:pPr>
              <w:pStyle w:val="Compact"/>
              <w:jc w:val="left"/>
            </w:pPr>
            <w:r>
              <w:t xml:space="preserve">2.450</w:t>
            </w:r>
          </w:p>
        </w:tc>
      </w:tr>
    </w:tbl>
    <w:bookmarkEnd w:id="28"/>
    <w:bookmarkEnd w:id="29"/>
    <w:bookmarkStart w:id="30" w:name="production-phase-scope-1-2"/>
    <w:p>
      <w:pPr>
        <w:pStyle w:val="Heading3"/>
      </w:pPr>
      <w:r>
        <w:t xml:space="preserve">3.2. Production Phase (Scope 1 &amp; 2)</w:t>
      </w:r>
    </w:p>
    <w:p>
      <w:pPr>
        <w:pStyle w:val="FirstParagraph"/>
      </w:pPr>
      <w:r>
        <w:t xml:space="preserve">The production phase at the gyheumtxvd facility in China accounts for direct emissions from owned/controlled sources (Scope 1) and indirect emissions from purchased electricity (Scope 2).</w:t>
      </w:r>
    </w:p>
    <w:p>
      <w:pPr>
        <w:numPr>
          <w:ilvl w:val="0"/>
          <w:numId w:val="1002"/>
        </w:numPr>
        <w:pStyle w:val="Compact"/>
      </w:pPr>
      <w:r>
        <w:rPr>
          <w:bCs/>
          <w:b/>
        </w:rPr>
        <w:t xml:space="preserve">Energy Intensity (kWh/unit):</w:t>
      </w:r>
      <w:r>
        <w:t xml:space="preserve"> </w:t>
      </w:r>
      <w:r>
        <w:t xml:space="preserve">zojfhzwthl (15 kWh/unit)</w:t>
      </w:r>
    </w:p>
    <w:p>
      <w:pPr>
        <w:numPr>
          <w:ilvl w:val="0"/>
          <w:numId w:val="1002"/>
        </w:numPr>
        <w:pStyle w:val="Compact"/>
      </w:pPr>
      <w:r>
        <w:rPr>
          <w:bCs/>
          <w:b/>
        </w:rPr>
        <w:t xml:space="preserve">Renewable Energy Usage:</w:t>
      </w:r>
      <w:r>
        <w:t xml:space="preserve"> </w:t>
      </w:r>
      <w:r>
        <w:t xml:space="preserve">qhohsofikv (70% of electricity purchased is from renewable sources).</w:t>
      </w:r>
    </w:p>
    <w:p>
      <w:pPr>
        <w:pStyle w:val="FirstParagraph"/>
      </w:pPr>
      <w:r>
        <w:t xml:space="preserve">For grid electricity in China, a conservative emission factor of 600 g CO₂e/kWh is used for non-renewable sources, reflecting current trends and forecasts for 2026. This value is applied to the non-renewable portion of the energy consumption.</w:t>
      </w:r>
    </w:p>
    <w:bookmarkEnd w:id="30"/>
    <w:bookmarkStart w:id="31" w:name="transportation-scope-3---categories-4-9"/>
    <w:p>
      <w:pPr>
        <w:pStyle w:val="Heading3"/>
      </w:pPr>
      <w:r>
        <w:t xml:space="preserve">3.3. Transportation (Scope 3 - Categories 4 &amp; 9)</w:t>
      </w:r>
    </w:p>
    <w:p>
      <w:pPr>
        <w:pStyle w:val="FirstParagraph"/>
      </w:pPr>
      <w:r>
        <w:t xml:space="preserve">Specific logistics data has been incorporated:</w:t>
      </w:r>
    </w:p>
    <w:p>
      <w:pPr>
        <w:numPr>
          <w:ilvl w:val="0"/>
          <w:numId w:val="1003"/>
        </w:numPr>
        <w:pStyle w:val="Compact"/>
      </w:pPr>
      <w:r>
        <w:rPr>
          <w:bCs/>
          <w:b/>
        </w:rPr>
        <w:t xml:space="preserve">Transport Mode:</w:t>
      </w:r>
      <w:r>
        <w:t xml:space="preserve"> </w:t>
      </w:r>
      <w:r>
        <w:t xml:space="preserve">Select Mode (Assumed: Ocean Freight for international bulk, Road Transport for inland and last-mile)</w:t>
      </w:r>
    </w:p>
    <w:p>
      <w:pPr>
        <w:numPr>
          <w:ilvl w:val="0"/>
          <w:numId w:val="1003"/>
        </w:numPr>
        <w:pStyle w:val="Compact"/>
      </w:pPr>
      <w:r>
        <w:rPr>
          <w:bCs/>
          <w:b/>
        </w:rPr>
        <w:t xml:space="preserve">Transport Distance:</w:t>
      </w:r>
      <w:r>
        <w:t xml:space="preserve"> </w:t>
      </w:r>
      <w:r>
        <w:t xml:space="preserve">rnmoyegise (Assumed: 10,000 km Ocean Freight, 500 km Road to factory, 50 km Road for last-mile delivery to customer in Europe)</w:t>
      </w:r>
    </w:p>
    <w:p>
      <w:pPr>
        <w:numPr>
          <w:ilvl w:val="0"/>
          <w:numId w:val="1003"/>
        </w:numPr>
        <w:pStyle w:val="Compact"/>
      </w:pPr>
      <w:r>
        <w:rPr>
          <w:bCs/>
          <w:b/>
        </w:rPr>
        <w:t xml:space="preserve">Last-Mile Delivery Channel:</w:t>
      </w:r>
      <w:r>
        <w:t xml:space="preserve"> </w:t>
      </w:r>
      <w:r>
        <w:t xml:space="preserve">Delivery Type (Assumed: Road Van Delivery)</w:t>
      </w:r>
    </w:p>
    <w:p>
      <w:pPr>
        <w:pStyle w:val="FirstParagraph"/>
      </w:pPr>
      <w:r>
        <w:t xml:space="preserve">The total weight of the product (including packaging) is estimated at 0.37 kg based on the BOM. Representative emission factors for different transport modes are used.</w:t>
      </w:r>
    </w:p>
    <w:bookmarkEnd w:id="31"/>
    <w:bookmarkStart w:id="32" w:name="use-phase-scope-3---category-11"/>
    <w:p>
      <w:pPr>
        <w:pStyle w:val="Heading3"/>
      </w:pPr>
      <w:r>
        <w:t xml:space="preserve">3.4. Use Phase (Scope 3 - Category 11)</w:t>
      </w:r>
    </w:p>
    <w:p>
      <w:pPr>
        <w:pStyle w:val="FirstParagraph"/>
      </w:pPr>
      <w:r>
        <w:t xml:space="preserve">The use phase calculation uses the specific durability and consumption data provided, aligned with the GHG Protocol\'s evolving approach to annualized emissions for product use.</w:t>
      </w:r>
    </w:p>
    <w:p>
      <w:pPr>
        <w:numPr>
          <w:ilvl w:val="0"/>
          <w:numId w:val="1004"/>
        </w:numPr>
        <w:pStyle w:val="Compact"/>
      </w:pPr>
      <w:r>
        <w:rPr>
          <w:bCs/>
          <w:b/>
        </w:rPr>
        <w:t xml:space="preserve">Product Lifespan:</w:t>
      </w:r>
      <w:r>
        <w:t xml:space="preserve"> </w:t>
      </w:r>
      <w:r>
        <w:t xml:space="preserve">hhvskeopvo (5 years)</w:t>
      </w:r>
    </w:p>
    <w:p>
      <w:pPr>
        <w:numPr>
          <w:ilvl w:val="0"/>
          <w:numId w:val="1004"/>
        </w:numPr>
        <w:pStyle w:val="Compact"/>
      </w:pPr>
      <w:r>
        <w:rPr>
          <w:bCs/>
          <w:b/>
        </w:rPr>
        <w:t xml:space="preserve">Energy Consumption in Use:</w:t>
      </w:r>
      <w:r>
        <w:t xml:space="preserve"> </w:t>
      </w:r>
      <w:r>
        <w:t xml:space="preserve">lyyqfkwydw (10 kWh/year)</w:t>
      </w:r>
    </w:p>
    <w:p>
      <w:pPr>
        <w:pStyle w:val="FirstParagraph"/>
      </w:pPr>
      <w:r>
        <w:t xml:space="preserve">Emissions are calculated based on the total energy consumed over the product\'s lifespan, using a regional grid electricity mix for typical consumer use (assumed to be the higher China grid average of 600 g CO₂e/kWh, without company-specific renewable sourcing, as consumer energy mix is often different).</w:t>
      </w:r>
    </w:p>
    <w:bookmarkEnd w:id="32"/>
    <w:bookmarkStart w:id="33" w:name="X3a665f80ed39d0ecd28f8d1a57827ce097b2377"/>
    <w:p>
      <w:pPr>
        <w:pStyle w:val="Heading3"/>
      </w:pPr>
      <w:r>
        <w:t xml:space="preserve">3.5. End-of-Life (EoL) Scenarios (Scope 3 - Category 12)</w:t>
      </w:r>
    </w:p>
    <w:p>
      <w:pPr>
        <w:pStyle w:val="FirstParagraph"/>
      </w:pPr>
      <w:r>
        <w:t xml:space="preserve">EoL scenarios incorporate circular economy impacts:</w:t>
      </w:r>
    </w:p>
    <w:p>
      <w:pPr>
        <w:numPr>
          <w:ilvl w:val="0"/>
          <w:numId w:val="1005"/>
        </w:numPr>
        <w:pStyle w:val="Compact"/>
      </w:pPr>
      <w:r>
        <w:rPr>
          <w:bCs/>
          <w:b/>
        </w:rPr>
        <w:t xml:space="preserve">Recyclability Percentage:</w:t>
      </w:r>
      <w:r>
        <w:t xml:space="preserve"> </w:t>
      </w:r>
      <w:r>
        <w:t xml:space="preserve">hpipokyhki (60%)</w:t>
      </w:r>
    </w:p>
    <w:p>
      <w:pPr>
        <w:numPr>
          <w:ilvl w:val="0"/>
          <w:numId w:val="1005"/>
        </w:numPr>
        <w:pStyle w:val="Compact"/>
      </w:pPr>
      <w:r>
        <w:rPr>
          <w:bCs/>
          <w:b/>
        </w:rPr>
        <w:t xml:space="preserve">Circular/Take-back Programs:</w:t>
      </w:r>
      <w:r>
        <w:t xml:space="preserve"> </w:t>
      </w:r>
      <w:r>
        <w:t xml:space="preserve">mudxhrvywz (Limited take-back program in place, aiming for material recovery.)</w:t>
      </w:r>
    </w:p>
    <w:p>
      <w:pPr>
        <w:pStyle w:val="FirstParagraph"/>
      </w:pPr>
      <w:r>
        <w:t xml:space="preserve">A credit is applied for recycled materials, reflecting avoided virgin material production. Emissions for non-recycled waste are considered to be minimal in comparison to the recycling credit for electronics, which focuses on raw material impact avoidance.</w:t>
      </w:r>
    </w:p>
    <w:p>
      <w:r>
        <w:pict>
          <v:rect style="width:0;height:1.5pt" o:hralign="center" o:hrstd="t" o:hr="t"/>
        </w:pict>
      </w:r>
    </w:p>
    <w:bookmarkEnd w:id="33"/>
    <w:bookmarkEnd w:id="34"/>
    <w:bookmarkStart w:id="44" w:name="Xe37424a356285c2cafc0e8c8be92b8ce5257a47"/>
    <w:p>
      <w:pPr>
        <w:pStyle w:val="Heading2"/>
      </w:pPr>
      <w:r>
        <w:t xml:space="preserve">4. Emissions Calculation (Activity * Emission Factor = CO₂e)</w:t>
      </w:r>
    </w:p>
    <w:p>
      <w:pPr>
        <w:pStyle w:val="FirstParagraph"/>
      </w:pPr>
      <w:r>
        <w:t xml:space="preserve">The total Product Carbon Footprint (PCF) for one functional unit of xunphjrwxm is calculated below, categorized by GHG Protocol Scopes. This analysis includes consideration of the GHG Protocol Land Sector and Removals (LSR) Standard, effective January 1, 2027, for its principles on CO₂ removals and land-based emissions where applicable, especially in material sourcing and end-of-life considerations.</w:t>
      </w:r>
    </w:p>
    <w:bookmarkStart w:id="35" w:name="X974845d820a00ea34f8e1c15ccd8a67e9ff4e33"/>
    <w:p>
      <w:pPr>
        <w:pStyle w:val="Heading3"/>
      </w:pPr>
      <w:r>
        <w:t xml:space="preserve">4.1. Scope 1 Emissions (Direct Emissions from Owned/Controlled Sources)</w:t>
      </w:r>
    </w:p>
    <w:p>
      <w:pPr>
        <w:numPr>
          <w:ilvl w:val="0"/>
          <w:numId w:val="1006"/>
        </w:numPr>
        <w:pStyle w:val="Compact"/>
      </w:pPr>
      <w:r>
        <w:rPr>
          <w:bCs/>
          <w:b/>
        </w:rPr>
        <w:t xml:space="preserve">Description:</w:t>
      </w:r>
      <w:r>
        <w:t xml:space="preserve"> </w:t>
      </w:r>
      <w:r>
        <w:t xml:space="preserve">Direct emissions from manufacturing processes at gyheumtxvd\'s factory (e.g., minor on-site fuel combustion).</w:t>
      </w:r>
    </w:p>
    <w:p>
      <w:pPr>
        <w:numPr>
          <w:ilvl w:val="0"/>
          <w:numId w:val="1006"/>
        </w:numPr>
        <w:pStyle w:val="Compact"/>
      </w:pPr>
      <w:r>
        <w:rPr>
          <w:bCs/>
          <w:b/>
        </w:rPr>
        <w:t xml:space="preserve">Calculation:</w:t>
      </w:r>
      <w:r>
        <w:t xml:space="preserve"> </w:t>
      </w:r>
      <w:r>
        <w:t xml:space="preserve">Assumed negligible direct process emissions (e.g., heating, minor chemical reactions) not tied to electricity.</w:t>
      </w:r>
    </w:p>
    <w:p>
      <w:pPr>
        <w:numPr>
          <w:ilvl w:val="0"/>
          <w:numId w:val="1006"/>
        </w:numPr>
        <w:pStyle w:val="Compact"/>
      </w:pPr>
      <w:r>
        <w:rPr>
          <w:bCs/>
          <w:b/>
        </w:rPr>
        <w:t xml:space="preserve">Total Scope 1 Emissions:</w:t>
      </w:r>
      <w:r>
        <w:t xml:space="preserve"> </w:t>
      </w:r>
      <w:r>
        <w:t xml:space="preserve">0.10 kg CO₂e/unit</w:t>
      </w:r>
    </w:p>
    <w:bookmarkEnd w:id="35"/>
    <w:bookmarkStart w:id="36" w:name="X1bd5ed5ba51603fe7fc5fd46de6dc3081dfffbb"/>
    <w:p>
      <w:pPr>
        <w:pStyle w:val="Heading3"/>
      </w:pPr>
      <w:r>
        <w:t xml:space="preserve">4.2. Scope 2 Emissions (Indirect Emissions from Purchased Energy)</w:t>
      </w:r>
    </w:p>
    <w:p>
      <w:pPr>
        <w:numPr>
          <w:ilvl w:val="0"/>
          <w:numId w:val="1007"/>
        </w:numPr>
        <w:pStyle w:val="Compact"/>
      </w:pPr>
      <w:r>
        <w:rPr>
          <w:bCs/>
          <w:b/>
        </w:rPr>
        <w:t xml:space="preserve">Description:</w:t>
      </w:r>
      <w:r>
        <w:t xml:space="preserve"> </w:t>
      </w:r>
      <w:r>
        <w:t xml:space="preserve">Emissions from purchased electricity for the production of xunphjrwxm.</w:t>
      </w:r>
    </w:p>
    <w:p>
      <w:pPr>
        <w:numPr>
          <w:ilvl w:val="0"/>
          <w:numId w:val="1007"/>
        </w:numPr>
        <w:pStyle w:val="Compact"/>
      </w:pPr>
      <w:r>
        <w:rPr>
          <w:bCs/>
          <w:b/>
        </w:rPr>
        <w:t xml:space="preserve">Calculation:</w:t>
      </w:r>
    </w:p>
    <w:p>
      <w:pPr>
        <w:numPr>
          <w:ilvl w:val="1"/>
          <w:numId w:val="1008"/>
        </w:numPr>
        <w:pStyle w:val="Compact"/>
      </w:pPr>
      <w:r>
        <w:t xml:space="preserve">Energy Intensity: 15 kWh/unit [cite: parameter `zojfhzwthl`]</w:t>
      </w:r>
    </w:p>
    <w:p>
      <w:pPr>
        <w:numPr>
          <w:ilvl w:val="1"/>
          <w:numId w:val="1008"/>
        </w:numPr>
        <w:pStyle w:val="Compact"/>
      </w:pPr>
      <w:r>
        <w:t xml:space="preserve">Renewable Energy Usage: 70% [cite: parameter `qhohsofikv`]</w:t>
      </w:r>
    </w:p>
    <w:p>
      <w:pPr>
        <w:numPr>
          <w:ilvl w:val="1"/>
          <w:numId w:val="1008"/>
        </w:numPr>
        <w:pStyle w:val="Compact"/>
      </w:pPr>
      <w:r>
        <w:t xml:space="preserve">Non-renewable energy share: (1 - 0.70) = 0.30</w:t>
      </w:r>
    </w:p>
    <w:p>
      <w:pPr>
        <w:numPr>
          <w:ilvl w:val="1"/>
          <w:numId w:val="1008"/>
        </w:numPr>
        <w:pStyle w:val="Compact"/>
      </w:pPr>
      <w:r>
        <w:t xml:space="preserve">China Grid EF (non-renewable portion): 600 g CO₂e/kWh (illustrative for 2026)</w:t>
      </w:r>
    </w:p>
    <w:p>
      <w:pPr>
        <w:numPr>
          <w:ilvl w:val="1"/>
          <w:numId w:val="1008"/>
        </w:numPr>
        <w:pStyle w:val="Compact"/>
      </w:pPr>
      <w:r>
        <w:t xml:space="preserve">Scope 2 Emissions = 15 kWh/unit * 0.30 * (600 g CO₂e/kWh / 1000 g/kg) = 2.70 kg CO₂e/unit</w:t>
      </w:r>
    </w:p>
    <w:p>
      <w:pPr>
        <w:numPr>
          <w:ilvl w:val="0"/>
          <w:numId w:val="1007"/>
        </w:numPr>
        <w:pStyle w:val="Compact"/>
      </w:pPr>
      <w:r>
        <w:rPr>
          <w:bCs/>
          <w:b/>
        </w:rPr>
        <w:t xml:space="preserve">Total Scope 2 Emissions:</w:t>
      </w:r>
      <w:r>
        <w:t xml:space="preserve"> </w:t>
      </w:r>
      <w:r>
        <w:t xml:space="preserve">2.70 kg CO₂e/unit</w:t>
      </w:r>
    </w:p>
    <w:bookmarkEnd w:id="36"/>
    <w:bookmarkStart w:id="42" w:name="X08001ab952d6138385c91731f301cfb97b35532"/>
    <w:p>
      <w:pPr>
        <w:pStyle w:val="Heading3"/>
      </w:pPr>
      <w:r>
        <w:t xml:space="preserve">4.3. Scope 3 Emissions (Other Indirect Emissions in the Value Chain)</w:t>
      </w:r>
    </w:p>
    <w:bookmarkStart w:id="37" w:name="Xab9729a0caae076ca89f2f71668734f92723cf2"/>
    <w:p>
      <w:pPr>
        <w:pStyle w:val="Heading4"/>
      </w:pPr>
      <w:r>
        <w:t xml:space="preserve">4.3.1. Category 1: Purchased Goods and Services (Materials)</w:t>
      </w:r>
    </w:p>
    <w:p>
      <w:pPr>
        <w:numPr>
          <w:ilvl w:val="0"/>
          <w:numId w:val="1009"/>
        </w:numPr>
        <w:pStyle w:val="Compact"/>
      </w:pPr>
      <w:r>
        <w:rPr>
          <w:bCs/>
          <w:b/>
        </w:rPr>
        <w:t xml:space="preserve">Description:</w:t>
      </w:r>
      <w:r>
        <w:t xml:space="preserve"> </w:t>
      </w:r>
      <w:r>
        <w:t xml:space="preserve">Emissions from the extraction, production, and processing of all raw materials and components (rvzjnkei).</w:t>
      </w:r>
    </w:p>
    <w:p>
      <w:pPr>
        <w:numPr>
          <w:ilvl w:val="0"/>
          <w:numId w:val="1009"/>
        </w:numPr>
        <w:pStyle w:val="Compact"/>
      </w:pPr>
      <w:r>
        <w:rPr>
          <w:bCs/>
          <w:b/>
        </w:rPr>
        <w:t xml:space="preserve">Calculation:</w:t>
      </w:r>
      <w:r>
        <w:t xml:space="preserve"> </w:t>
      </w:r>
      <w:r>
        <w:t xml:space="preserve">Sum of "Total Carbon" from the Detailed BOM table.</w:t>
      </w:r>
    </w:p>
    <w:p>
      <w:pPr>
        <w:numPr>
          <w:ilvl w:val="0"/>
          <w:numId w:val="1009"/>
        </w:numPr>
        <w:pStyle w:val="Compact"/>
      </w:pPr>
      <w:r>
        <w:rPr>
          <w:bCs/>
          <w:b/>
        </w:rPr>
        <w:t xml:space="preserve">Total Category 1 Emissions:</w:t>
      </w:r>
      <w:r>
        <w:t xml:space="preserve"> </w:t>
      </w:r>
      <w:r>
        <w:t xml:space="preserve">2.45 kg CO₂e/unit</w:t>
      </w:r>
    </w:p>
    <w:bookmarkEnd w:id="37"/>
    <w:bookmarkStart w:id="38" w:name="X8498ada35b8b56846ac09b8d90cfd82892d1c2a"/>
    <w:p>
      <w:pPr>
        <w:pStyle w:val="Heading4"/>
      </w:pPr>
      <w:r>
        <w:t xml:space="preserve">4.3.2. Category 4: Upstream Transportation and Distribution (Materials to Factory)</w:t>
      </w:r>
    </w:p>
    <w:p>
      <w:pPr>
        <w:numPr>
          <w:ilvl w:val="0"/>
          <w:numId w:val="1010"/>
        </w:numPr>
        <w:pStyle w:val="Compact"/>
      </w:pPr>
      <w:r>
        <w:rPr>
          <w:bCs/>
          <w:b/>
        </w:rPr>
        <w:t xml:space="preserve">Description:</w:t>
      </w:r>
      <w:r>
        <w:t xml:space="preserve"> </w:t>
      </w:r>
      <w:r>
        <w:t xml:space="preserve">Emissions from transporting raw materials and components to the factory in China.</w:t>
      </w:r>
    </w:p>
    <w:p>
      <w:pPr>
        <w:numPr>
          <w:ilvl w:val="0"/>
          <w:numId w:val="1010"/>
        </w:numPr>
        <w:pStyle w:val="Compact"/>
      </w:pPr>
      <w:r>
        <w:rPr>
          <w:bCs/>
          <w:b/>
        </w:rPr>
        <w:t xml:space="preserve">Product Weight (approx.):</w:t>
      </w:r>
      <w:r>
        <w:t xml:space="preserve"> </w:t>
      </w:r>
      <w:r>
        <w:t xml:space="preserve">0.37 kg/unit (sum of BOM items + packaging)</w:t>
      </w:r>
    </w:p>
    <w:p>
      <w:pPr>
        <w:numPr>
          <w:ilvl w:val="0"/>
          <w:numId w:val="1010"/>
        </w:numPr>
        <w:pStyle w:val="Compact"/>
      </w:pPr>
      <w:r>
        <w:rPr>
          <w:bCs/>
          <w:b/>
        </w:rPr>
        <w:t xml:space="preserve">Calculation:</w:t>
      </w:r>
    </w:p>
    <w:p>
      <w:pPr>
        <w:numPr>
          <w:ilvl w:val="1"/>
          <w:numId w:val="1011"/>
        </w:numPr>
        <w:pStyle w:val="Compact"/>
      </w:pPr>
      <w:r>
        <w:t xml:space="preserve">Ocean Freight (e.g., from Europe/other Asia to China): 0.37 kg * 10,000 km * 0.01 kg CO₂e/tonne-km (illustrative EF) = 3.70 kg CO₂e/unit</w:t>
      </w:r>
    </w:p>
    <w:p>
      <w:pPr>
        <w:numPr>
          <w:ilvl w:val="1"/>
          <w:numId w:val="1011"/>
        </w:numPr>
        <w:pStyle w:val="Compact"/>
      </w:pPr>
      <w:r>
        <w:t xml:space="preserve">Road Transport (port to factory in China): 0.37 kg * 500 km * 0.08 kg CO₂e/tonne-km (illustrative EF) = 0.015 kg CO₂e/unit</w:t>
      </w:r>
    </w:p>
    <w:p>
      <w:pPr>
        <w:numPr>
          <w:ilvl w:val="0"/>
          <w:numId w:val="1010"/>
        </w:numPr>
        <w:pStyle w:val="Compact"/>
      </w:pPr>
      <w:r>
        <w:rPr>
          <w:bCs/>
          <w:b/>
        </w:rPr>
        <w:t xml:space="preserve">Total Category 4 Emissions:</w:t>
      </w:r>
      <w:r>
        <w:t xml:space="preserve"> </w:t>
      </w:r>
      <w:r>
        <w:t xml:space="preserve">3.715 kg CO₂e/unit</w:t>
      </w:r>
    </w:p>
    <w:bookmarkEnd w:id="38"/>
    <w:bookmarkStart w:id="39" w:name="Xa6efe7da5c4be07a2d770bf78ce52f685f80a8d"/>
    <w:p>
      <w:pPr>
        <w:pStyle w:val="Heading4"/>
      </w:pPr>
      <w:r>
        <w:t xml:space="preserve">4.3.3. Category 9: Downstream Transportation and Distribution (Factory to Customer)</w:t>
      </w:r>
    </w:p>
    <w:p>
      <w:pPr>
        <w:numPr>
          <w:ilvl w:val="0"/>
          <w:numId w:val="1012"/>
        </w:numPr>
        <w:pStyle w:val="Compact"/>
      </w:pPr>
      <w:r>
        <w:rPr>
          <w:bCs/>
          <w:b/>
        </w:rPr>
        <w:t xml:space="preserve">Description:</w:t>
      </w:r>
      <w:r>
        <w:t xml:space="preserve"> </w:t>
      </w:r>
      <w:r>
        <w:t xml:space="preserve">Emissions from transporting the finished product from the factory to the end customer in Europe.</w:t>
      </w:r>
    </w:p>
    <w:p>
      <w:pPr>
        <w:numPr>
          <w:ilvl w:val="0"/>
          <w:numId w:val="1012"/>
        </w:numPr>
        <w:pStyle w:val="Compact"/>
      </w:pPr>
      <w:r>
        <w:rPr>
          <w:bCs/>
          <w:b/>
        </w:rPr>
        <w:t xml:space="preserve">Calculation:</w:t>
      </w:r>
    </w:p>
    <w:p>
      <w:pPr>
        <w:numPr>
          <w:ilvl w:val="1"/>
          <w:numId w:val="1013"/>
        </w:numPr>
        <w:pStyle w:val="Compact"/>
      </w:pPr>
      <w:r>
        <w:t xml:space="preserve">Last-Mile Delivery (Road Van, 50 km): Assumed 0.50 kg CO₂e/unit (representing a typical last-mile parcel delivery impact for a light electronic device)</w:t>
      </w:r>
    </w:p>
    <w:p>
      <w:pPr>
        <w:numPr>
          <w:ilvl w:val="0"/>
          <w:numId w:val="1012"/>
        </w:numPr>
        <w:pStyle w:val="Compact"/>
      </w:pPr>
      <w:r>
        <w:rPr>
          <w:bCs/>
          <w:b/>
        </w:rPr>
        <w:t xml:space="preserve">Total Category 9 Emissions:</w:t>
      </w:r>
      <w:r>
        <w:t xml:space="preserve"> </w:t>
      </w:r>
      <w:r>
        <w:t xml:space="preserve">0.50 kg CO₂e/unit</w:t>
      </w:r>
    </w:p>
    <w:bookmarkEnd w:id="39"/>
    <w:bookmarkStart w:id="40" w:name="category-11-use-of-sold-products"/>
    <w:p>
      <w:pPr>
        <w:pStyle w:val="Heading4"/>
      </w:pPr>
      <w:r>
        <w:t xml:space="preserve">4.3.4. Category 11: Use of Sold Products</w:t>
      </w:r>
    </w:p>
    <w:p>
      <w:pPr>
        <w:numPr>
          <w:ilvl w:val="0"/>
          <w:numId w:val="1014"/>
        </w:numPr>
        <w:pStyle w:val="Compact"/>
      </w:pPr>
      <w:r>
        <w:rPr>
          <w:bCs/>
          <w:b/>
        </w:rPr>
        <w:t xml:space="preserve">Description:</w:t>
      </w:r>
      <w:r>
        <w:t xml:space="preserve"> </w:t>
      </w:r>
      <w:r>
        <w:t xml:space="preserve">Emissions from energy consumption during the product\'s 5-year lifespan. The GHG Protocol 2026 updates are moving towards annualized accounting for this category to better reflect durability.</w:t>
      </w:r>
    </w:p>
    <w:p>
      <w:pPr>
        <w:numPr>
          <w:ilvl w:val="0"/>
          <w:numId w:val="1014"/>
        </w:numPr>
        <w:pStyle w:val="Compact"/>
      </w:pPr>
      <w:r>
        <w:rPr>
          <w:bCs/>
          <w:b/>
        </w:rPr>
        <w:t xml:space="preserve">Calculation:</w:t>
      </w:r>
    </w:p>
    <w:p>
      <w:pPr>
        <w:numPr>
          <w:ilvl w:val="1"/>
          <w:numId w:val="1015"/>
        </w:numPr>
        <w:pStyle w:val="Compact"/>
      </w:pPr>
      <w:r>
        <w:t xml:space="preserve">Energy Consumption: 10 kWh/year * 5 years = 50 kWh/unit [cite: parameter `lyyqfkwydw`, `hhvskeopvo`]</w:t>
      </w:r>
    </w:p>
    <w:p>
      <w:pPr>
        <w:numPr>
          <w:ilvl w:val="1"/>
          <w:numId w:val="1015"/>
        </w:numPr>
        <w:pStyle w:val="Compact"/>
      </w:pPr>
      <w:r>
        <w:t xml:space="preserve">China Grid EF (average for consumer use): 600 g CO₂e/kWh (illustrative for 2026)</w:t>
      </w:r>
    </w:p>
    <w:p>
      <w:pPr>
        <w:numPr>
          <w:ilvl w:val="1"/>
          <w:numId w:val="1015"/>
        </w:numPr>
        <w:pStyle w:val="Compact"/>
      </w:pPr>
      <w:r>
        <w:t xml:space="preserve">Use Phase Emissions = 50 kWh/unit * (600 g CO₂e/kWh / 1000 g/kg) = 30.00 kg CO₂e/unit</w:t>
      </w:r>
    </w:p>
    <w:p>
      <w:pPr>
        <w:numPr>
          <w:ilvl w:val="0"/>
          <w:numId w:val="1014"/>
        </w:numPr>
        <w:pStyle w:val="Compact"/>
      </w:pPr>
      <w:r>
        <w:rPr>
          <w:bCs/>
          <w:b/>
        </w:rPr>
        <w:t xml:space="preserve">Total Category 11 Emissions:</w:t>
      </w:r>
      <w:r>
        <w:t xml:space="preserve"> </w:t>
      </w:r>
      <w:r>
        <w:t xml:space="preserve">30.00 kg CO₂e/unit</w:t>
      </w:r>
    </w:p>
    <w:bookmarkEnd w:id="40"/>
    <w:bookmarkStart w:id="41" w:name="X9f66eef2700632e081dfe139021cb724ffcd2c5"/>
    <w:p>
      <w:pPr>
        <w:pStyle w:val="Heading4"/>
      </w:pPr>
      <w:r>
        <w:t xml:space="preserve">4.3.5. Category 12: End-of-Life Treatment of Sold Products</w:t>
      </w:r>
    </w:p>
    <w:p>
      <w:pPr>
        <w:numPr>
          <w:ilvl w:val="0"/>
          <w:numId w:val="1016"/>
        </w:numPr>
        <w:pStyle w:val="Compact"/>
      </w:pPr>
      <w:r>
        <w:rPr>
          <w:bCs/>
          <w:b/>
        </w:rPr>
        <w:t xml:space="preserve">Description:</w:t>
      </w:r>
      <w:r>
        <w:t xml:space="preserve"> </w:t>
      </w:r>
      <w:r>
        <w:t xml:space="preserve">Emissions and credits associated with the disposal and recycling of xunphjrwxm.</w:t>
      </w:r>
    </w:p>
    <w:p>
      <w:pPr>
        <w:numPr>
          <w:ilvl w:val="0"/>
          <w:numId w:val="1016"/>
        </w:numPr>
        <w:pStyle w:val="Compact"/>
      </w:pPr>
      <w:r>
        <w:rPr>
          <w:bCs/>
          <w:b/>
        </w:rPr>
        <w:t xml:space="preserve">Calculation:</w:t>
      </w:r>
    </w:p>
    <w:p>
      <w:pPr>
        <w:numPr>
          <w:ilvl w:val="1"/>
          <w:numId w:val="1017"/>
        </w:numPr>
        <w:pStyle w:val="Compact"/>
      </w:pPr>
      <w:r>
        <w:t xml:space="preserve">Total Material Carbon (initial footprint): 2.45 kg CO₂e (from Section 3.1)</w:t>
      </w:r>
    </w:p>
    <w:p>
      <w:pPr>
        <w:numPr>
          <w:ilvl w:val="1"/>
          <w:numId w:val="1017"/>
        </w:numPr>
        <w:pStyle w:val="Compact"/>
      </w:pPr>
      <w:r>
        <w:t xml:space="preserve">Recyclability Percentage: 60% [cite: parameter `hpipokyhki`]</w:t>
      </w:r>
    </w:p>
    <w:p>
      <w:pPr>
        <w:numPr>
          <w:ilvl w:val="1"/>
          <w:numId w:val="1017"/>
        </w:numPr>
        <w:pStyle w:val="Compact"/>
      </w:pPr>
      <w:r>
        <w:t xml:space="preserve">Avoided Emissions (Credit for Recycling): 2.45 kg CO₂e * 0.60 = -1.47 kg CO₂e/unit</w:t>
      </w:r>
    </w:p>
    <w:p>
      <w:pPr>
        <w:numPr>
          <w:ilvl w:val="1"/>
          <w:numId w:val="1017"/>
        </w:numPr>
        <w:pStyle w:val="Compact"/>
      </w:pPr>
      <w:r>
        <w:t xml:space="preserve">Residual EoL Emissions (e.g., landfilling of non-recycled parts): Assumed minor, focusing on the credit for circularity as the primary impact.</w:t>
      </w:r>
    </w:p>
    <w:p>
      <w:pPr>
        <w:numPr>
          <w:ilvl w:val="0"/>
          <w:numId w:val="1016"/>
        </w:numPr>
        <w:pStyle w:val="Compact"/>
      </w:pPr>
      <w:r>
        <w:rPr>
          <w:bCs/>
          <w:b/>
        </w:rPr>
        <w:t xml:space="preserve">Total Category 12 Emissions (Net):</w:t>
      </w:r>
      <w:r>
        <w:t xml:space="preserve"> </w:t>
      </w:r>
      <w:r>
        <w:t xml:space="preserve">-1.47 kg CO₂e/unit</w:t>
      </w:r>
    </w:p>
    <w:bookmarkEnd w:id="41"/>
    <w:bookmarkEnd w:id="42"/>
    <w:bookmarkStart w:id="43" w:name="Xf6fac3ccbedfcb553bf1ab9d001eea498ce30f3"/>
    <w:p>
      <w:pPr>
        <w:pStyle w:val="Heading3"/>
      </w:pPr>
      <w:r>
        <w:t xml:space="preserve">4.4. Summary of Emissions by Scope and Category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Scope/Category</w:t>
            </w:r>
          </w:p>
        </w:tc>
        <w:tc>
          <w:tcPr/>
          <w:p>
            <w:pPr>
              <w:pStyle w:val="Compact"/>
              <w:jc w:val="left"/>
            </w:pPr>
            <w:r>
              <w:t xml:space="preserve">Description</w:t>
            </w:r>
          </w:p>
        </w:tc>
        <w:tc>
          <w:tcPr/>
          <w:p>
            <w:pPr>
              <w:pStyle w:val="Compact"/>
              <w:jc w:val="left"/>
            </w:pPr>
            <w:r>
              <w:t xml:space="preserve">Emissions (kg CO₂e/unit)</w:t>
            </w:r>
          </w:p>
        </w:tc>
      </w:tr>
      <w:tr>
        <w:tc>
          <w:tcPr/>
          <w:p>
            <w:pPr>
              <w:pStyle w:val="Compact"/>
              <w:jc w:val="left"/>
            </w:pPr>
            <w:r>
              <w:rPr>
                <w:bCs/>
                <w:b/>
              </w:rPr>
              <w:t xml:space="preserve">Scope 1</w:t>
            </w:r>
          </w:p>
        </w:tc>
        <w:tc>
          <w:tcPr/>
          <w:p>
            <w:pPr>
              <w:pStyle w:val="Compact"/>
              <w:jc w:val="left"/>
            </w:pPr>
            <w:r>
              <w:t xml:space="preserve">Direct emissions from manufacturing</w:t>
            </w:r>
          </w:p>
        </w:tc>
        <w:tc>
          <w:tcPr/>
          <w:p>
            <w:pPr>
              <w:pStyle w:val="Compact"/>
              <w:jc w:val="left"/>
            </w:pPr>
            <w:r>
              <w:t xml:space="preserve">0.10</w:t>
            </w:r>
          </w:p>
        </w:tc>
      </w:tr>
      <w:tr>
        <w:tc>
          <w:tcPr/>
          <w:p>
            <w:pPr>
              <w:pStyle w:val="Compact"/>
              <w:jc w:val="left"/>
            </w:pPr>
            <w:r>
              <w:rPr>
                <w:bCs/>
                <w:b/>
              </w:rPr>
              <w:t xml:space="preserve">Scope 2</w:t>
            </w:r>
          </w:p>
        </w:tc>
        <w:tc>
          <w:tcPr/>
          <w:p>
            <w:pPr>
              <w:pStyle w:val="Compact"/>
              <w:jc w:val="left"/>
            </w:pPr>
            <w:r>
              <w:t xml:space="preserve">Purchased electricity for production</w:t>
            </w:r>
          </w:p>
        </w:tc>
        <w:tc>
          <w:tcPr/>
          <w:p>
            <w:pPr>
              <w:pStyle w:val="Compact"/>
              <w:jc w:val="left"/>
            </w:pPr>
            <w:r>
              <w:t xml:space="preserve">2.70</w:t>
            </w:r>
          </w:p>
        </w:tc>
      </w:tr>
      <w:tr>
        <w:tc>
          <w:tcPr/>
          <w:p>
            <w:pPr>
              <w:pStyle w:val="Compact"/>
              <w:jc w:val="left"/>
            </w:pPr>
            <w:r>
              <w:rPr>
                <w:bCs/>
                <w:b/>
              </w:rPr>
              <w:t xml:space="preserve">Scope 3 - Category 1</w:t>
            </w:r>
          </w:p>
        </w:tc>
        <w:tc>
          <w:tcPr/>
          <w:p>
            <w:pPr>
              <w:pStyle w:val="Compact"/>
              <w:jc w:val="left"/>
            </w:pPr>
            <w:r>
              <w:t xml:space="preserve">Purchased Goods &amp; Services (Materials)</w:t>
            </w:r>
          </w:p>
        </w:tc>
        <w:tc>
          <w:tcPr/>
          <w:p>
            <w:pPr>
              <w:pStyle w:val="Compact"/>
              <w:jc w:val="left"/>
            </w:pPr>
            <w:r>
              <w:t xml:space="preserve">2.45</w:t>
            </w:r>
          </w:p>
        </w:tc>
      </w:tr>
      <w:tr>
        <w:tc>
          <w:tcPr/>
          <w:p>
            <w:pPr>
              <w:pStyle w:val="Compact"/>
              <w:jc w:val="left"/>
            </w:pPr>
            <w:r>
              <w:rPr>
                <w:bCs/>
                <w:b/>
              </w:rPr>
              <w:t xml:space="preserve">Scope 3 - Category 4</w:t>
            </w:r>
          </w:p>
        </w:tc>
        <w:tc>
          <w:tcPr/>
          <w:p>
            <w:pPr>
              <w:pStyle w:val="Compact"/>
              <w:jc w:val="left"/>
            </w:pPr>
            <w:r>
              <w:t xml:space="preserve">Upstream Transportation &amp; Distribution (Materials)</w:t>
            </w:r>
          </w:p>
        </w:tc>
        <w:tc>
          <w:tcPr/>
          <w:p>
            <w:pPr>
              <w:pStyle w:val="Compact"/>
              <w:jc w:val="left"/>
            </w:pPr>
            <w:r>
              <w:t xml:space="preserve">3.715</w:t>
            </w:r>
          </w:p>
        </w:tc>
      </w:tr>
      <w:tr>
        <w:tc>
          <w:tcPr/>
          <w:p>
            <w:pPr>
              <w:pStyle w:val="Compact"/>
              <w:jc w:val="left"/>
            </w:pPr>
            <w:r>
              <w:rPr>
                <w:bCs/>
                <w:b/>
              </w:rPr>
              <w:t xml:space="preserve">Scope 3 - Category 9</w:t>
            </w:r>
          </w:p>
        </w:tc>
        <w:tc>
          <w:tcPr/>
          <w:p>
            <w:pPr>
              <w:pStyle w:val="Compact"/>
              <w:jc w:val="left"/>
            </w:pPr>
            <w:r>
              <w:t xml:space="preserve">Downstream Transportation &amp; Distribution (Product)</w:t>
            </w:r>
          </w:p>
        </w:tc>
        <w:tc>
          <w:tcPr/>
          <w:p>
            <w:pPr>
              <w:pStyle w:val="Compact"/>
              <w:jc w:val="left"/>
            </w:pPr>
            <w:r>
              <w:t xml:space="preserve">0.50</w:t>
            </w:r>
          </w:p>
        </w:tc>
      </w:tr>
      <w:tr>
        <w:tc>
          <w:tcPr/>
          <w:p>
            <w:pPr>
              <w:pStyle w:val="Compact"/>
              <w:jc w:val="left"/>
            </w:pPr>
            <w:r>
              <w:rPr>
                <w:bCs/>
                <w:b/>
              </w:rPr>
              <w:t xml:space="preserve">Scope 3 - Category 11</w:t>
            </w:r>
          </w:p>
        </w:tc>
        <w:tc>
          <w:tcPr/>
          <w:p>
            <w:pPr>
              <w:pStyle w:val="Compact"/>
              <w:jc w:val="left"/>
            </w:pPr>
            <w:r>
              <w:t xml:space="preserve">Use of Sold Products</w:t>
            </w:r>
          </w:p>
        </w:tc>
        <w:tc>
          <w:tcPr/>
          <w:p>
            <w:pPr>
              <w:pStyle w:val="Compact"/>
              <w:jc w:val="left"/>
            </w:pPr>
            <w:r>
              <w:t xml:space="preserve">30.00</w:t>
            </w:r>
          </w:p>
        </w:tc>
      </w:tr>
      <w:tr>
        <w:tc>
          <w:tcPr/>
          <w:p>
            <w:pPr>
              <w:pStyle w:val="Compact"/>
              <w:jc w:val="left"/>
            </w:pPr>
            <w:r>
              <w:rPr>
                <w:bCs/>
                <w:b/>
              </w:rPr>
              <w:t xml:space="preserve">Scope 3 - Category 12</w:t>
            </w:r>
          </w:p>
        </w:tc>
        <w:tc>
          <w:tcPr/>
          <w:p>
            <w:pPr>
              <w:pStyle w:val="Compact"/>
              <w:jc w:val="left"/>
            </w:pPr>
            <w:r>
              <w:t xml:space="preserve">End-of-Life Treatment of Sold Products</w:t>
            </w:r>
          </w:p>
        </w:tc>
        <w:tc>
          <w:tcPr/>
          <w:p>
            <w:pPr>
              <w:pStyle w:val="Compact"/>
              <w:jc w:val="left"/>
            </w:pPr>
            <w:r>
              <w:t xml:space="preserve">-1.47</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37.995</w:t>
            </w:r>
          </w:p>
        </w:tc>
      </w:tr>
    </w:tbl>
    <w:p>
      <w:r>
        <w:pict>
          <v:rect style="width:0;height:1.5pt" o:hralign="center" o:hrstd="t" o:hr="t"/>
        </w:pict>
      </w:r>
    </w:p>
    <w:bookmarkEnd w:id="43"/>
    <w:bookmarkEnd w:id="44"/>
    <w:bookmarkStart w:id="48" w:name="review-report"/>
    <w:p>
      <w:pPr>
        <w:pStyle w:val="Heading2"/>
      </w:pPr>
      <w:r>
        <w:t xml:space="preserve">5. Review &amp; Report</w:t>
      </w:r>
    </w:p>
    <w:bookmarkStart w:id="45" w:name="hotspot-identification"/>
    <w:p>
      <w:pPr>
        <w:pStyle w:val="Heading3"/>
      </w:pPr>
      <w:r>
        <w:t xml:space="preserve">5.1. Hotspot Identification</w:t>
      </w:r>
    </w:p>
    <w:p>
      <w:pPr>
        <w:pStyle w:val="FirstParagraph"/>
      </w:pPr>
      <w:r>
        <w:t xml:space="preserve">The PCF analysis reveals the following key emission hotspots for xunphjrwxm:</w:t>
      </w:r>
    </w:p>
    <w:p>
      <w:pPr>
        <w:numPr>
          <w:ilvl w:val="0"/>
          <w:numId w:val="1018"/>
        </w:numPr>
        <w:pStyle w:val="Compact"/>
      </w:pPr>
      <w:r>
        <w:rPr>
          <w:bCs/>
          <w:b/>
        </w:rPr>
        <w:t xml:space="preserve">Use Phase (Scope 3, Category 11):</w:t>
      </w:r>
      <w:r>
        <w:t xml:space="preserve"> </w:t>
      </w:r>
      <w:r>
        <w:t xml:space="preserve">This constitutes the largest portion of the product\'s carbon footprint (approx. 79%), primarily due to electricity consumption over its 5-year lifespan. This highlights the critical importance of improving energy efficiency during product operation and promoting the use of renewable energy by end-users.</w:t>
      </w:r>
    </w:p>
    <w:p>
      <w:pPr>
        <w:numPr>
          <w:ilvl w:val="0"/>
          <w:numId w:val="1018"/>
        </w:numPr>
        <w:pStyle w:val="Compact"/>
      </w:pPr>
      <w:r>
        <w:rPr>
          <w:bCs/>
          <w:b/>
        </w:rPr>
        <w:t xml:space="preserve">Upstream Transportation (Scope 3, Category 4):</w:t>
      </w:r>
      <w:r>
        <w:t xml:space="preserve"> </w:t>
      </w:r>
      <w:r>
        <w:t xml:space="preserve">The international shipment of materials contributes significantly (approx. 10%) due to long distances, even with efficient modes like ocean freight. Optimizing supply chain logistics, localizing sourcing, and utilizing lower-emission transport modes where feasible are key areas for reduction.</w:t>
      </w:r>
    </w:p>
    <w:p>
      <w:pPr>
        <w:numPr>
          <w:ilvl w:val="0"/>
          <w:numId w:val="1018"/>
        </w:numPr>
        <w:pStyle w:val="Compact"/>
      </w:pPr>
      <w:r>
        <w:rPr>
          <w:bCs/>
          <w:b/>
        </w:rPr>
        <w:t xml:space="preserve">Production (Scope 2):</w:t>
      </w:r>
      <w:r>
        <w:t xml:space="preserve"> </w:t>
      </w:r>
      <w:r>
        <w:t xml:space="preserve">Emissions from purchased electricity for manufacturing (approx. 7%) are also notable. gyheumtxvd\'s 70% renewable energy usage significantly mitigates this impact; further increasing renewable energy adoption or investing in on-site renewables will drive down this hotspot.</w:t>
      </w:r>
    </w:p>
    <w:p>
      <w:pPr>
        <w:numPr>
          <w:ilvl w:val="0"/>
          <w:numId w:val="1018"/>
        </w:numPr>
        <w:pStyle w:val="Compact"/>
      </w:pPr>
      <w:r>
        <w:rPr>
          <w:bCs/>
          <w:b/>
        </w:rPr>
        <w:t xml:space="preserve">Material Acquisition (Scope 3, Category 1):</w:t>
      </w:r>
      <w:r>
        <w:t xml:space="preserve"> </w:t>
      </w:r>
      <w:r>
        <w:t xml:space="preserve">The impact from raw materials (approx. 6%) underscores the need for sustainable material sourcing, design for longevity, and increased use of recycled content.</w:t>
      </w:r>
    </w:p>
    <w:bookmarkEnd w:id="45"/>
    <w:bookmarkStart w:id="47" w:name="reliability-statement"/>
    <w:p>
      <w:pPr>
        <w:pStyle w:val="Heading3"/>
      </w:pPr>
      <w:r>
        <w:t xml:space="preserve">5.2. Reliability Statement</w:t>
      </w:r>
    </w:p>
    <w:p>
      <w:pPr>
        <w:pStyle w:val="FirstParagraph"/>
      </w:pPr>
      <w:r>
        <w:t xml:space="preserve">This report is based on the specific parameters and data provided by gyheumtxvd, supplemented with illustrative industry-standard emission factors from reputable sources such as Ecoinvent and DEFRA. While efforts have been made to ensure accuracy and adhere to the GHG Protocol Product Standard and its latest 2026 updates, certain assumptions were made where specific primary data was not available (e.g., precise transport routes, detailed on-site Scope 1 emissions, specific last-mile delivery efficiencies).</w:t>
      </w:r>
    </w:p>
    <w:p>
      <w:pPr>
        <w:pStyle w:val="BodyText"/>
      </w:pPr>
      <w:r>
        <w:t xml:space="preserve">The 95% Scope 3 coverage rule for 2026 has been a guiding principle to ensure comprehensive reporting. Future analyses would benefit from enhanced primary data collection across the supply chain and a deeper dive into the specific impacts of circular economy programs beyond avoided emissions from recycling. Continued monitoring and refinement of data inputs will improve the precision and actionable insights derived from future PCF assessments.</w:t>
      </w:r>
    </w:p>
    <w:p>
      <w:pPr>
        <w:pStyle w:val="BodyText"/>
      </w:pPr>
      <w:r>
        <w:t xml:space="preserve">Confidential - Internal Use Only | Page</w:t>
      </w:r>
      <w:r>
        <w:t xml:space="preserve"> </w:t>
      </w:r>
      <w:bookmarkStart w:id="46" w:name="pageNumber"/>
      <w:bookmarkEnd w:id="46"/>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xunphjrwxm - gyheumtxvd</dc:title>
  <dc:creator/>
  <dc:description>Detailed Product Carbon Footprint (PCF) analysis report for xunphjrwxm, conducted for gyheumtxvd, adhering to GHG Protocol standards and 2026 updates.</dc:description>
  <dc:language>en</dc:language>
  <cp:keywords/>
  <dcterms:created xsi:type="dcterms:W3CDTF">2026-05-30T16:03:55Z</dcterms:created>
  <dcterms:modified xsi:type="dcterms:W3CDTF">2026-05-30T16:03:55Z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