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xtwxznnwdr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xtwxznnwdr</w:t>
      </w:r>
    </w:p>
    <w:p>
      <w:pPr>
        <w:pStyle w:val="BodyText"/>
      </w:pPr>
      <w:r>
        <w:t xml:space="preserve">Company Name: qqpinwivpd</w:t>
      </w:r>
    </w:p>
    <w:p>
      <w:pPr>
        <w:pStyle w:val="BodyText"/>
      </w:pPr>
      <w:r>
        <w:t xml:space="preserve">Senior Sustainability Consultant: ltkppyinms</w:t>
      </w:r>
    </w:p>
    <w:p>
      <w:pPr>
        <w:pStyle w:val="BodyText"/>
      </w:pPr>
      <w:r>
        <w:t xml:space="preserve">Protocol Data (Accounting Standard): GHG Protocol</w:t>
      </w:r>
    </w:p>
    <w:p>
      <w:pPr>
        <w:pStyle w:val="BodyText"/>
      </w:pPr>
      <w:r>
        <w:t xml:space="preserve">Disclaimer: This report is generated based on available data and industry standards. While every effort has been made to ensure accuracy, the actual carbon footprint may vary based on specific operational details not captured by the provided parameters or general emission factors.</w:t>
      </w:r>
    </w:p>
    <w:bookmarkEnd w:id="20"/>
    <w:bookmarkStart w:id="21" w:name="X90eaea9705d8b37fe866d8857ff5526823b3040"/>
    <w:p>
      <w:pPr>
        <w:pStyle w:val="Heading1"/>
      </w:pPr>
      <w:r>
        <w:t xml:space="preserve">Product Carbon Footprint (PCF) Analysis Report for xtwxznnwdr</w:t>
      </w:r>
    </w:p>
    <w:p>
      <w:pPr>
        <w:pStyle w:val="FirstParagraph"/>
      </w:pPr>
      <w:r>
        <w:t xml:space="preserve">Generated Date: May 22, 2026</w:t>
      </w:r>
    </w:p>
    <w:p>
      <w:pPr>
        <w:pStyle w:val="BodyText"/>
      </w:pPr>
      <w:r>
        <w:t xml:space="preserve">Company: qqpinwivpd | Consultant: ltkppyinms</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"xtwxznnwdr" manufactured by "qqpinwivpd", conducted by Senior Sustainability Consultant ltkppyinms. The analysis adheres strictly to the GHG Protocol, incorporating the 2026 Land Sector and Removals (LSR) Standard update and aiming for at least 95% Scope 3 coverage. The total estimated cradle-to-gate-plus-use-and-end-of-life carbon footprint for one functional unit of xtwxznnwdr is approximately 34.16 kgCO2e. The Use Phase of the product significantly contributes to the overall footprint, highlighting key areas for future optimization.</w:t>
      </w:r>
    </w:p>
    <w:p>
      <w:r>
        <w:pict>
          <v:rect style="width:0;height:1.5pt" o:hralign="center" o:hrstd="t" o:hr="t"/>
        </w:pict>
      </w:r>
    </w:p>
    <w:bookmarkEnd w:id="22"/>
    <w:bookmarkStart w:id="23" w:name="definition-of-scope"/>
    <w:p>
      <w:pPr>
        <w:pStyle w:val="Heading2"/>
      </w:pPr>
      <w:r>
        <w:t xml:space="preserve">1. Definition of Scope</w:t>
      </w:r>
    </w:p>
    <w:p>
      <w:pPr>
        <w:pStyle w:val="FirstParagraph"/>
      </w:pPr>
      <w:r>
        <w:t xml:space="preserve">The initial step in this PCF analysis involves clearly defining the parameters that govern the study.</w:t>
      </w:r>
    </w:p>
    <w:p>
      <w:pPr>
        <w:numPr>
          <w:ilvl w:val="0"/>
          <w:numId w:val="1001"/>
        </w:numPr>
        <w:pStyle w:val="Compact"/>
      </w:pPr>
      <w:r>
        <w:rPr>
          <w:bCs/>
          <w:b/>
        </w:rPr>
        <w:t xml:space="preserve">Functional Unit:</w:t>
      </w:r>
      <w:r>
        <w:t xml:space="preserve"> </w:t>
      </w:r>
      <w:r>
        <w:t xml:space="preserve">1.0 unit of xtwxznnwdr.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factory_gate, expanding to include Use Phase and End-of-Life (EoL) scenarios. This encompasses raw material extraction, manufacturing (including upstream transportation), the product\'s in-use energy consumption, and its disposal/recycling.</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1"/>
          <w:numId w:val="1002"/>
        </w:numPr>
        <w:pStyle w:val="Compact"/>
      </w:pPr>
      <w:r>
        <w:t xml:space="preserve">Use Phase: Global average electricity mix assumed for consumer usage.</w:t>
      </w:r>
    </w:p>
    <w:p>
      <w:pPr>
        <w:numPr>
          <w:ilvl w:val="0"/>
          <w:numId w:val="1001"/>
        </w:numPr>
        <w:pStyle w:val="Compact"/>
      </w:pPr>
      <w:r>
        <w:rPr>
          <w:bCs/>
          <w:b/>
        </w:rPr>
        <w:t xml:space="preserve">Accounting Standard:</w:t>
      </w:r>
      <w:r>
        <w:t xml:space="preserve"> </w:t>
      </w:r>
      <w:r>
        <w:t xml:space="preserve">GHG Protocol Product Standard, including adherence to the 2026 Land Sector and Removals (LSR) Standard for land-use impacts and carbon removals, and ensuring at least 95% coverage for Scope 3 reporting as per 2026 requirements.</w:t>
      </w:r>
    </w:p>
    <w:p>
      <w:pPr>
        <w:numPr>
          <w:ilvl w:val="0"/>
          <w:numId w:val="1001"/>
        </w:numPr>
        <w:pStyle w:val="Compact"/>
      </w:pPr>
      <w:r>
        <w:rPr>
          <w:bCs/>
          <w:b/>
        </w:rPr>
        <w:t xml:space="preserve">Allocation:</w:t>
      </w:r>
      <w:r>
        <w:t xml:space="preserve"> </w:t>
      </w:r>
      <w:r>
        <w:t xml:space="preserve">All emissions are allocated entirely to the functional unit, assuming no co-products for simplification in this report. For multi-functional processes, a mass-based allocation approach is generally preferred, though not explicitly required for this specific dataset.</w:t>
      </w:r>
    </w:p>
    <w:p>
      <w:r>
        <w:pict>
          <v:rect style="width:0;height:1.5pt" o:hralign="center" o:hrstd="t" o:hr="t"/>
        </w:pict>
      </w:r>
    </w:p>
    <w:bookmarkEnd w:id="23"/>
    <w:bookmarkStart w:id="29" w:name="Xe53ce5ff818de4e0425362e3274525332416797"/>
    <w:p>
      <w:pPr>
        <w:pStyle w:val="Heading2"/>
      </w:pPr>
      <w:r>
        <w:t xml:space="preserve">2. &amp; 3. Lifecycle Mapping (LCI Inventory Stages) and Data Collection</w:t>
      </w:r>
    </w:p>
    <w:p>
      <w:pPr>
        <w:pStyle w:val="FirstParagraph"/>
      </w:pPr>
      <w:r>
        <w:t xml:space="preserve">This section details the lifecycle stages considered and the primary and secondary data points collected for the analysis. Emissions are categorized according to the GHG Protocol into Scope 1 (direct emissions from owned or controlled sources), Scope 2 (indirect emissions from the generation of purchased energy), and Scope 3 (all other indirect emissions that occur in a company’s value chain).</w:t>
      </w:r>
    </w:p>
    <w:bookmarkStart w:id="24" w:name="Xc57ee8631e5035adde1db19ee423bed1a28a62a"/>
    <w:p>
      <w:pPr>
        <w:pStyle w:val="Heading3"/>
      </w:pPr>
      <w:r>
        <w:t xml:space="preserve">Detailed Bill of Materials (BOM) - ktgnsltv (Scope 3, Category 1: Purchased Goods and Services)</w:t>
      </w:r>
    </w:p>
    <w:p>
      <w:pPr>
        <w:pStyle w:val="FirstParagraph"/>
      </w:pPr>
      <w:r>
        <w:t xml:space="preserve">The provided Detailed Bill of Materials (BOM) for xtwxznnwdr is used for a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 kgCO2e/kg</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 kgCO2e/unit</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 kgCO2e/kg</w:t>
            </w:r>
          </w:p>
        </w:tc>
        <w:tc>
          <w:tcPr/>
          <w:p>
            <w:pPr>
              <w:pStyle w:val="Compact"/>
              <w:jc w:val="left"/>
            </w:pPr>
            <w:r>
              <w:t xml:space="preserve">1.5</w:t>
            </w:r>
          </w:p>
        </w:tc>
      </w:tr>
    </w:tbl>
    <w:p>
      <w:pPr>
        <w:pStyle w:val="BodyText"/>
      </w:pPr>
      <w:r>
        <w:rPr>
          <w:bCs/>
          <w:b/>
        </w:rPr>
        <w:t xml:space="preserve">Total Material Impact (from BOM): 6.6 kgCO2e</w:t>
      </w:r>
    </w:p>
    <w:bookmarkEnd w:id="24"/>
    <w:bookmarkStart w:id="25" w:name="X556c65936ff3d30963299b437e3dc51154bac24"/>
    <w:p>
      <w:pPr>
        <w:pStyle w:val="Heading3"/>
      </w:pPr>
      <w:r>
        <w:t xml:space="preserve">Production Energy Inputs (Scope 2: Purchased Electricity)</w:t>
      </w:r>
    </w:p>
    <w:p>
      <w:pPr>
        <w:numPr>
          <w:ilvl w:val="0"/>
          <w:numId w:val="1003"/>
        </w:numPr>
        <w:pStyle w:val="Compact"/>
      </w:pPr>
      <w:r>
        <w:rPr>
          <w:bCs/>
          <w:b/>
        </w:rPr>
        <w:t xml:space="preserve">Energy Intensity:</w:t>
      </w:r>
      <w:r>
        <w:t xml:space="preserve"> </w:t>
      </w:r>
      <w:r>
        <w:t xml:space="preserve">yptpnseljs (5 kWh/unit)</w:t>
      </w:r>
    </w:p>
    <w:p>
      <w:pPr>
        <w:numPr>
          <w:ilvl w:val="0"/>
          <w:numId w:val="1003"/>
        </w:numPr>
        <w:pStyle w:val="Compact"/>
      </w:pPr>
      <w:r>
        <w:rPr>
          <w:bCs/>
          <w:b/>
        </w:rPr>
        <w:t xml:space="preserve">Renewable Energy Usage:</w:t>
      </w:r>
      <w:r>
        <w:t xml:space="preserve"> </w:t>
      </w:r>
      <w:r>
        <w:t xml:space="preserve">uwxzpwonyg (30% of total electricity consumed)</w:t>
      </w:r>
    </w:p>
    <w:p>
      <w:pPr>
        <w:numPr>
          <w:ilvl w:val="0"/>
          <w:numId w:val="1003"/>
        </w:numPr>
        <w:pStyle w:val="Compact"/>
      </w:pPr>
      <w:r>
        <w:rPr>
          <w:bCs/>
          <w:b/>
        </w:rPr>
        <w:t xml:space="preserve">Geographic Scope for Production:</w:t>
      </w:r>
      <w:r>
        <w:t xml:space="preserve"> </w:t>
      </w:r>
      <w:r>
        <w:t xml:space="preserve">China</w:t>
      </w:r>
    </w:p>
    <w:bookmarkEnd w:id="25"/>
    <w:bookmarkStart w:id="26" w:name="X944bd6c4d218e2ef6edbbd9f8195779cdf2bdc9"/>
    <w:p>
      <w:pPr>
        <w:pStyle w:val="Heading3"/>
      </w:pPr>
      <w:r>
        <w:t xml:space="preserve">Logistics Data (Scope 3, Category 4: Upstream Transportation &amp; Distribution &amp; Category 9: Downstream Transportation &amp; Distribution)</w:t>
      </w:r>
    </w:p>
    <w:p>
      <w:pPr>
        <w:numPr>
          <w:ilvl w:val="0"/>
          <w:numId w:val="1004"/>
        </w:numPr>
        <w:pStyle w:val="Compact"/>
      </w:pPr>
      <w:r>
        <w:rPr>
          <w:bCs/>
          <w:b/>
        </w:rPr>
        <w:t xml:space="preserve">Upstream Transport Mode:</w:t>
      </w:r>
      <w:r>
        <w:t xml:space="preserve"> </w:t>
      </w:r>
      <w:r>
        <w:t xml:space="preserve">Select Mode (Ocean Freight - Container Ship)</w:t>
      </w:r>
    </w:p>
    <w:p>
      <w:pPr>
        <w:numPr>
          <w:ilvl w:val="0"/>
          <w:numId w:val="1004"/>
        </w:numPr>
        <w:pStyle w:val="Compact"/>
      </w:pPr>
      <w:r>
        <w:rPr>
          <w:bCs/>
          <w:b/>
        </w:rPr>
        <w:t xml:space="preserve">Upstream Transport Distance:</w:t>
      </w:r>
      <w:r>
        <w:t xml:space="preserve"> </w:t>
      </w:r>
      <w:r>
        <w:t xml:space="preserve">jopdlmfsmg (15000 km, for primary components sourced from Europe to China)</w:t>
      </w:r>
    </w:p>
    <w:p>
      <w:pPr>
        <w:numPr>
          <w:ilvl w:val="0"/>
          <w:numId w:val="1004"/>
        </w:numPr>
        <w:pStyle w:val="Compact"/>
      </w:pPr>
      <w:r>
        <w:rPr>
          <w:bCs/>
          <w:b/>
        </w:rPr>
        <w:t xml:space="preserve">Product Weight (assumed for transport calculations):</w:t>
      </w:r>
      <w:r>
        <w:t xml:space="preserve"> </w:t>
      </w:r>
      <w:r>
        <w:t xml:space="preserve">1 kg (based on sum of major BOM components: 0.5kg Al + 0.2kg ABS + 0.1kg Li-ion Battery + assumed 0.2kg for PCB and other minor components).</w:t>
      </w:r>
    </w:p>
    <w:p>
      <w:pPr>
        <w:numPr>
          <w:ilvl w:val="0"/>
          <w:numId w:val="1004"/>
        </w:numPr>
        <w:pStyle w:val="Compact"/>
      </w:pPr>
      <w:r>
        <w:rPr>
          <w:bCs/>
          <w:b/>
        </w:rPr>
        <w:t xml:space="preserve">Last-Mile Delivery Channel:</w:t>
      </w:r>
      <w:r>
        <w:t xml:space="preserve"> </w:t>
      </w:r>
      <w:r>
        <w:t xml:space="preserve">Delivery Type (Parcel Delivery - Van)</w:t>
      </w:r>
    </w:p>
    <w:p>
      <w:pPr>
        <w:numPr>
          <w:ilvl w:val="0"/>
          <w:numId w:val="1004"/>
        </w:numPr>
        <w:pStyle w:val="Compact"/>
      </w:pPr>
      <w:r>
        <w:rPr>
          <w:bCs/>
          <w:b/>
        </w:rPr>
        <w:t xml:space="preserve">Last-Mile Delivery Distance (assumed):</w:t>
      </w:r>
      <w:r>
        <w:t xml:space="preserve"> </w:t>
      </w:r>
      <w:r>
        <w:t xml:space="preserve">100 km (typical for regional distribution)</w:t>
      </w:r>
    </w:p>
    <w:bookmarkEnd w:id="26"/>
    <w:bookmarkStart w:id="27" w:name="X9c47a088dc2010630d22d37d8f68ea322772e33"/>
    <w:p>
      <w:pPr>
        <w:pStyle w:val="Heading3"/>
      </w:pPr>
      <w:r>
        <w:t xml:space="preserve">Use Phase Data (Scope 3, Category 11: Use of Sold Products)</w:t>
      </w:r>
    </w:p>
    <w:p>
      <w:pPr>
        <w:numPr>
          <w:ilvl w:val="0"/>
          <w:numId w:val="1005"/>
        </w:numPr>
        <w:pStyle w:val="Compact"/>
      </w:pPr>
      <w:r>
        <w:rPr>
          <w:bCs/>
          <w:b/>
        </w:rPr>
        <w:t xml:space="preserve">Product Lifespan:</w:t>
      </w:r>
      <w:r>
        <w:t xml:space="preserve"> </w:t>
      </w:r>
      <w:r>
        <w:t xml:space="preserve">musppylgpg (5 years)</w:t>
      </w:r>
    </w:p>
    <w:p>
      <w:pPr>
        <w:numPr>
          <w:ilvl w:val="0"/>
          <w:numId w:val="1005"/>
        </w:numPr>
        <w:pStyle w:val="Compact"/>
      </w:pPr>
      <w:r>
        <w:rPr>
          <w:bCs/>
          <w:b/>
        </w:rPr>
        <w:t xml:space="preserve">Energy Consumption in Use:</w:t>
      </w:r>
      <w:r>
        <w:t xml:space="preserve"> </w:t>
      </w:r>
      <w:r>
        <w:t xml:space="preserve">luutxskzpw (10 kWh/year)</w:t>
      </w:r>
    </w:p>
    <w:bookmarkEnd w:id="27"/>
    <w:bookmarkStart w:id="28" w:name="X22f9dae0edae5a4ebf0dcf5b8ca74de2c6ea5a4"/>
    <w:p>
      <w:pPr>
        <w:pStyle w:val="Heading3"/>
      </w:pPr>
      <w:r>
        <w:t xml:space="preserve">End-of-Life (EoL) Scenarios (Scope 3, Category 12: End-of-Life Treatment of Sold Products)</w:t>
      </w:r>
    </w:p>
    <w:p>
      <w:pPr>
        <w:numPr>
          <w:ilvl w:val="0"/>
          <w:numId w:val="1006"/>
        </w:numPr>
        <w:pStyle w:val="Compact"/>
      </w:pPr>
      <w:r>
        <w:rPr>
          <w:bCs/>
          <w:b/>
        </w:rPr>
        <w:t xml:space="preserve">Recyclability Percentage:</w:t>
      </w:r>
      <w:r>
        <w:t xml:space="preserve"> </w:t>
      </w:r>
      <w:r>
        <w:t xml:space="preserve">hzzzmwgnyn (70%)</w:t>
      </w:r>
    </w:p>
    <w:p>
      <w:pPr>
        <w:numPr>
          <w:ilvl w:val="0"/>
          <w:numId w:val="1006"/>
        </w:numPr>
        <w:pStyle w:val="Compact"/>
      </w:pPr>
      <w:r>
        <w:rPr>
          <w:bCs/>
          <w:b/>
        </w:rPr>
        <w:t xml:space="preserve">Circular/Take-back Programs:</w:t>
      </w:r>
      <w:r>
        <w:t xml:space="preserve"> </w:t>
      </w:r>
      <w:r>
        <w:t xml:space="preserve">jqpuethfmt (Product take-back scheme with material recycling)</w:t>
      </w:r>
    </w:p>
    <w:p>
      <w:r>
        <w:pict>
          <v:rect style="width:0;height:1.5pt" o:hralign="center" o:hrstd="t" o:hr="t"/>
        </w:pict>
      </w:r>
    </w:p>
    <w:bookmarkEnd w:id="28"/>
    <w:bookmarkEnd w:id="29"/>
    <w:bookmarkStart w:id="37"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consistent with sources like Ecoinvent/DEFRA, have been applied. Specific factors have been obtained through targeted research to ensure accuracy where general values were not explicitly provided.</w:t>
      </w:r>
    </w:p>
    <w:bookmarkStart w:id="33" w:name="Xd99fdfa6f7ad32bf72081592682c39249e27e60"/>
    <w:p>
      <w:pPr>
        <w:pStyle w:val="Heading3"/>
      </w:pPr>
      <w:r>
        <w:t xml:space="preserve">GHG Protocol Scope Categorization and Calculations:</w:t>
      </w:r>
    </w:p>
    <w:bookmarkStart w:id="30" w:name="X795a04e18e9d76749fe5445642965910341358c"/>
    <w:p>
      <w:pPr>
        <w:pStyle w:val="Heading4"/>
      </w:pPr>
      <w:r>
        <w:t xml:space="preserve">Scope 1: Direct Emissions (Negligible for Product PCF)</w:t>
      </w:r>
    </w:p>
    <w:p>
      <w:pPr>
        <w:pStyle w:val="FirstParagraph"/>
      </w:pPr>
      <w:r>
        <w:t xml:space="preserve">For this product carbon footprint analysis, direct emissions (Scope 1) from the manufacturing facility (e.g., fuel combustion in owned vehicles or boilers) are considered negligible or already embedded within the upstream material and energy factors provided. The system boundary \'factory_gate\' focuses on inputs to the product, rather than the operational emissions of the entire factory.</w:t>
      </w:r>
    </w:p>
    <w:bookmarkEnd w:id="30"/>
    <w:bookmarkStart w:id="31" w:name="scope-2-purchased-energy-emissions"/>
    <w:p>
      <w:pPr>
        <w:pStyle w:val="Heading4"/>
      </w:pPr>
      <w:r>
        <w:t xml:space="preserve">Scope 2: Purchased Energy Emissions</w:t>
      </w:r>
    </w:p>
    <w:p>
      <w:pPr>
        <w:numPr>
          <w:ilvl w:val="0"/>
          <w:numId w:val="1007"/>
        </w:numPr>
        <w:pStyle w:val="Compact"/>
      </w:pPr>
      <w:r>
        <w:rPr>
          <w:bCs/>
          <w:b/>
        </w:rPr>
        <w:t xml:space="preserve">Energy Intensity:</w:t>
      </w:r>
      <w:r>
        <w:t xml:space="preserve"> </w:t>
      </w:r>
      <w:r>
        <w:t xml:space="preserve">5 kWh/unit</w:t>
      </w:r>
    </w:p>
    <w:p>
      <w:pPr>
        <w:numPr>
          <w:ilvl w:val="0"/>
          <w:numId w:val="1007"/>
        </w:numPr>
        <w:pStyle w:val="Compact"/>
      </w:pPr>
      <w:r>
        <w:rPr>
          <w:bCs/>
          <w:b/>
        </w:rPr>
        <w:t xml:space="preserve">Renewable Energy Usage:</w:t>
      </w:r>
      <w:r>
        <w:t xml:space="preserve"> </w:t>
      </w:r>
      <w:r>
        <w:t xml:space="preserve">30%</w:t>
      </w:r>
    </w:p>
    <w:p>
      <w:pPr>
        <w:numPr>
          <w:ilvl w:val="0"/>
          <w:numId w:val="1007"/>
        </w:numPr>
        <w:pStyle w:val="Compact"/>
      </w:pPr>
      <w:r>
        <w:rPr>
          <w:bCs/>
          <w:b/>
        </w:rPr>
        <w:t xml:space="preserve">Non-renewable energy consumed:</w:t>
      </w:r>
      <w:r>
        <w:t xml:space="preserve"> </w:t>
      </w:r>
      <w:r>
        <w:t xml:space="preserve">5 kWh * (1 - 0.30) = 3.5 kWh</w:t>
      </w:r>
    </w:p>
    <w:p>
      <w:pPr>
        <w:numPr>
          <w:ilvl w:val="0"/>
          <w:numId w:val="1007"/>
        </w:numPr>
        <w:pStyle w:val="Compact"/>
      </w:pPr>
      <w:r>
        <w:rPr>
          <w:bCs/>
          <w:b/>
        </w:rPr>
        <w:t xml:space="preserve">Emission Factor (China Electricity Grid Mix, 2023):</w:t>
      </w:r>
      <w:r>
        <w:t xml:space="preserve"> </w:t>
      </w:r>
      <w:r>
        <w:t xml:space="preserve">0.6205 kgCO2e/kWh.</w:t>
      </w:r>
    </w:p>
    <w:p>
      <w:pPr>
        <w:numPr>
          <w:ilvl w:val="0"/>
          <w:numId w:val="1007"/>
        </w:numPr>
        <w:pStyle w:val="Compact"/>
      </w:pPr>
      <w:r>
        <w:rPr>
          <w:bCs/>
          <w:b/>
        </w:rPr>
        <w:t xml:space="preserve">Scope 2 Emissions:</w:t>
      </w:r>
      <w:r>
        <w:t xml:space="preserve"> </w:t>
      </w:r>
      <w:r>
        <w:t xml:space="preserve">3.5 kWh * 0.6205 kgCO2e/kWh =</w:t>
      </w:r>
      <w:r>
        <w:t xml:space="preserve"> </w:t>
      </w:r>
      <w:r>
        <w:rPr>
          <w:bCs/>
          <w:b/>
        </w:rPr>
        <w:t xml:space="preserve">2.17 kgCO2e</w:t>
      </w:r>
    </w:p>
    <w:bookmarkEnd w:id="31"/>
    <w:bookmarkStart w:id="32" w:name="X16f167394177e0f878a3e8b9beb95fd76375de1"/>
    <w:p>
      <w:pPr>
        <w:pStyle w:val="Heading4"/>
      </w:pPr>
      <w:r>
        <w:t xml:space="preserve">Scope 3: Value Chain Emissions (Ensuring &gt;95% Coverage)</w:t>
      </w:r>
    </w:p>
    <w:p>
      <w:pPr>
        <w:pStyle w:val="FirstParagraph"/>
      </w:pPr>
      <w:r>
        <w:t xml:space="preserve">Scope 3 emissions are the most significant for a product PCF and are broken down into relevant categories:</w:t>
      </w:r>
    </w:p>
    <w:p>
      <w:pPr>
        <w:numPr>
          <w:ilvl w:val="0"/>
          <w:numId w:val="1008"/>
        </w:numPr>
        <w:pStyle w:val="Compact"/>
      </w:pPr>
      <w:r>
        <w:rPr>
          <w:bCs/>
          <w:b/>
        </w:rPr>
        <w:t xml:space="preserve">Category 1: Purchased Goods and Services (Materials)</w:t>
      </w:r>
    </w:p>
    <w:p>
      <w:pPr>
        <w:numPr>
          <w:ilvl w:val="1"/>
          <w:numId w:val="1009"/>
        </w:numPr>
        <w:pStyle w:val="Compact"/>
      </w:pPr>
      <w:r>
        <w:t xml:space="preserve">Total Carbon from BOM (ktgnsltv):</w:t>
      </w:r>
      <w:r>
        <w:t xml:space="preserve"> </w:t>
      </w:r>
      <w:r>
        <w:rPr>
          <w:bCs/>
          <w:b/>
        </w:rPr>
        <w:t xml:space="preserve">6.60 kgCO2e</w:t>
      </w:r>
    </w:p>
    <w:p>
      <w:pPr>
        <w:numPr>
          <w:ilvl w:val="1"/>
          <w:numId w:val="1009"/>
        </w:numPr>
        <w:pStyle w:val="Compact"/>
      </w:pPr>
      <w:r>
        <w:rPr>
          <w:iCs/>
          <w:i/>
        </w:rPr>
        <w:t xml:space="preserve">This value is taken directly from the "Total Carbon" column provided in the Detailed Bill of Materials.</w:t>
      </w:r>
    </w:p>
    <w:p>
      <w:pPr>
        <w:numPr>
          <w:ilvl w:val="0"/>
          <w:numId w:val="1008"/>
        </w:numPr>
        <w:pStyle w:val="Compact"/>
      </w:pPr>
      <w:r>
        <w:rPr>
          <w:bCs/>
          <w:b/>
        </w:rPr>
        <w:t xml:space="preserve">Category 4: Upstream Transportation and Distribution</w:t>
      </w:r>
    </w:p>
    <w:p>
      <w:pPr>
        <w:numPr>
          <w:ilvl w:val="1"/>
          <w:numId w:val="1010"/>
        </w:numPr>
        <w:pStyle w:val="Compact"/>
      </w:pPr>
      <w:r>
        <w:t xml:space="preserve">Mode: Ocean Freight (Container Ship)</w:t>
      </w:r>
    </w:p>
    <w:p>
      <w:pPr>
        <w:numPr>
          <w:ilvl w:val="1"/>
          <w:numId w:val="1010"/>
        </w:numPr>
        <w:pStyle w:val="Compact"/>
      </w:pPr>
      <w:r>
        <w:t xml:space="preserve">Distance: 15000 km</w:t>
      </w:r>
    </w:p>
    <w:p>
      <w:pPr>
        <w:numPr>
          <w:ilvl w:val="1"/>
          <w:numId w:val="1010"/>
        </w:numPr>
        <w:pStyle w:val="Compact"/>
      </w:pPr>
      <w:r>
        <w:t xml:space="preserve">Product Weight: 0.001 tonne (1 kg)</w:t>
      </w:r>
    </w:p>
    <w:p>
      <w:pPr>
        <w:numPr>
          <w:ilvl w:val="1"/>
          <w:numId w:val="1010"/>
        </w:numPr>
        <w:pStyle w:val="Compact"/>
      </w:pPr>
      <w:r>
        <w:t xml:space="preserve">Emission Factor (Ocean Freight, general cargo average): 0.015 kgCO2e/tonne-km.</w:t>
      </w:r>
    </w:p>
    <w:p>
      <w:pPr>
        <w:numPr>
          <w:ilvl w:val="1"/>
          <w:numId w:val="1010"/>
        </w:numPr>
        <w:pStyle w:val="Compact"/>
      </w:pPr>
      <w:r>
        <w:rPr>
          <w:bCs/>
          <w:b/>
        </w:rPr>
        <w:t xml:space="preserve">Emissions:</w:t>
      </w:r>
      <w:r>
        <w:t xml:space="preserve"> </w:t>
      </w:r>
      <w:r>
        <w:t xml:space="preserve">0.001 tonne * 15000 km * 0.015 kgCO2e/tonne-km =</w:t>
      </w:r>
      <w:r>
        <w:t xml:space="preserve"> </w:t>
      </w:r>
      <w:r>
        <w:rPr>
          <w:bCs/>
          <w:b/>
        </w:rPr>
        <w:t xml:space="preserve">0.23 kgCO2e</w:t>
      </w:r>
    </w:p>
    <w:p>
      <w:pPr>
        <w:numPr>
          <w:ilvl w:val="0"/>
          <w:numId w:val="1008"/>
        </w:numPr>
        <w:pStyle w:val="Compact"/>
      </w:pPr>
      <w:r>
        <w:rPr>
          <w:bCs/>
          <w:b/>
        </w:rPr>
        <w:t xml:space="preserve">Category 9: Downstream Transportation and Distribution (Last-Mile Delivery)</w:t>
      </w:r>
    </w:p>
    <w:p>
      <w:pPr>
        <w:numPr>
          <w:ilvl w:val="1"/>
          <w:numId w:val="1011"/>
        </w:numPr>
        <w:pStyle w:val="Compact"/>
      </w:pPr>
      <w:r>
        <w:t xml:space="preserve">Mode: Parcel Delivery (Van)</w:t>
      </w:r>
    </w:p>
    <w:p>
      <w:pPr>
        <w:numPr>
          <w:ilvl w:val="1"/>
          <w:numId w:val="1011"/>
        </w:numPr>
        <w:pStyle w:val="Compact"/>
      </w:pPr>
      <w:r>
        <w:t xml:space="preserve">Distance (assumed): 100 km</w:t>
      </w:r>
    </w:p>
    <w:p>
      <w:pPr>
        <w:numPr>
          <w:ilvl w:val="1"/>
          <w:numId w:val="1011"/>
        </w:numPr>
        <w:pStyle w:val="Compact"/>
      </w:pPr>
      <w:r>
        <w:t xml:space="preserve">Product Weight: 0.001 tonne (1 kg)</w:t>
      </w:r>
    </w:p>
    <w:p>
      <w:pPr>
        <w:numPr>
          <w:ilvl w:val="1"/>
          <w:numId w:val="1011"/>
        </w:numPr>
        <w:pStyle w:val="Compact"/>
      </w:pPr>
      <w:r>
        <w:t xml:space="preserve">Emission Factor (Road trucking/Parcel Van): 0.15 kgCO2e/tonne-km.</w:t>
      </w:r>
    </w:p>
    <w:p>
      <w:pPr>
        <w:numPr>
          <w:ilvl w:val="1"/>
          <w:numId w:val="1011"/>
        </w:numPr>
        <w:pStyle w:val="Compact"/>
      </w:pPr>
      <w:r>
        <w:rPr>
          <w:bCs/>
          <w:b/>
        </w:rPr>
        <w:t xml:space="preserve">Emissions:</w:t>
      </w:r>
      <w:r>
        <w:t xml:space="preserve"> </w:t>
      </w:r>
      <w:r>
        <w:t xml:space="preserve">0.001 tonne * 100 km * 0.15 kgCO2e/tonne-km =</w:t>
      </w:r>
      <w:r>
        <w:t xml:space="preserve"> </w:t>
      </w:r>
      <w:r>
        <w:rPr>
          <w:bCs/>
          <w:b/>
        </w:rPr>
        <w:t xml:space="preserve">0.02 kgCO2e</w:t>
      </w:r>
    </w:p>
    <w:p>
      <w:pPr>
        <w:numPr>
          <w:ilvl w:val="0"/>
          <w:numId w:val="1008"/>
        </w:numPr>
        <w:pStyle w:val="Compact"/>
      </w:pPr>
      <w:r>
        <w:rPr>
          <w:bCs/>
          <w:b/>
        </w:rPr>
        <w:t xml:space="preserve">Category 11: Use of Sold Products</w:t>
      </w:r>
    </w:p>
    <w:p>
      <w:pPr>
        <w:numPr>
          <w:ilvl w:val="1"/>
          <w:numId w:val="1012"/>
        </w:numPr>
        <w:pStyle w:val="Compact"/>
      </w:pPr>
      <w:r>
        <w:t xml:space="preserve">Product Lifespan: 5 years</w:t>
      </w:r>
    </w:p>
    <w:p>
      <w:pPr>
        <w:numPr>
          <w:ilvl w:val="1"/>
          <w:numId w:val="1012"/>
        </w:numPr>
        <w:pStyle w:val="Compact"/>
      </w:pPr>
      <w:r>
        <w:t xml:space="preserve">Energy Consumption in Use: 10 kWh/year</w:t>
      </w:r>
    </w:p>
    <w:p>
      <w:pPr>
        <w:numPr>
          <w:ilvl w:val="1"/>
          <w:numId w:val="1012"/>
        </w:numPr>
        <w:pStyle w:val="Compact"/>
      </w:pPr>
      <w:r>
        <w:t xml:space="preserve">Total Energy Consumed: 5 years * 10 kWh/year = 50 kWh</w:t>
      </w:r>
    </w:p>
    <w:p>
      <w:pPr>
        <w:numPr>
          <w:ilvl w:val="1"/>
          <w:numId w:val="1012"/>
        </w:numPr>
        <w:pStyle w:val="Compact"/>
      </w:pPr>
      <w:r>
        <w:t xml:space="preserve">Emission Factor (Global Average Electricity Grid Mix, illustrative): 0.5 kgCO2e/kWh.</w:t>
      </w:r>
    </w:p>
    <w:p>
      <w:pPr>
        <w:numPr>
          <w:ilvl w:val="1"/>
          <w:numId w:val="1012"/>
        </w:numPr>
        <w:pStyle w:val="Compact"/>
      </w:pPr>
      <w:r>
        <w:rPr>
          <w:bCs/>
          <w:b/>
        </w:rPr>
        <w:t xml:space="preserve">Emissions:</w:t>
      </w:r>
      <w:r>
        <w:t xml:space="preserve"> </w:t>
      </w:r>
      <w:r>
        <w:t xml:space="preserve">50 kWh * 0.5 kgCO2e/kWh =</w:t>
      </w:r>
      <w:r>
        <w:t xml:space="preserve"> </w:t>
      </w:r>
      <w:r>
        <w:rPr>
          <w:bCs/>
          <w:b/>
        </w:rPr>
        <w:t xml:space="preserve">25.00 kgCO2e</w:t>
      </w:r>
    </w:p>
    <w:p>
      <w:pPr>
        <w:numPr>
          <w:ilvl w:val="0"/>
          <w:numId w:val="1008"/>
        </w:numPr>
        <w:pStyle w:val="Compact"/>
      </w:pPr>
      <w:r>
        <w:rPr>
          <w:bCs/>
          <w:b/>
        </w:rPr>
        <w:t xml:space="preserve">Category 12: End-of-Life Treatment of Sold Products</w:t>
      </w:r>
    </w:p>
    <w:p>
      <w:pPr>
        <w:numPr>
          <w:ilvl w:val="1"/>
          <w:numId w:val="1013"/>
        </w:numPr>
        <w:pStyle w:val="Compact"/>
      </w:pPr>
      <w:r>
        <w:t xml:space="preserve">Recyclability Percentage: 70%</w:t>
      </w:r>
    </w:p>
    <w:p>
      <w:pPr>
        <w:numPr>
          <w:ilvl w:val="1"/>
          <w:numId w:val="1013"/>
        </w:numPr>
        <w:pStyle w:val="Compact"/>
      </w:pPr>
      <w:r>
        <w:t xml:space="preserve">Non-recyclable portion: 30% of 1 kg = 0.3 kg</w:t>
      </w:r>
    </w:p>
    <w:p>
      <w:pPr>
        <w:numPr>
          <w:ilvl w:val="1"/>
          <w:numId w:val="1013"/>
        </w:numPr>
        <w:pStyle w:val="Compact"/>
      </w:pPr>
      <w:r>
        <w:t xml:space="preserve">Emission Factor (Mixed MSW Landfilled, illustrative): 0.5 kgCO2e/kg.</w:t>
      </w:r>
    </w:p>
    <w:p>
      <w:pPr>
        <w:numPr>
          <w:ilvl w:val="1"/>
          <w:numId w:val="1013"/>
        </w:numPr>
        <w:pStyle w:val="Compact"/>
      </w:pPr>
      <w:r>
        <w:rPr>
          <w:bCs/>
          <w:b/>
        </w:rPr>
        <w:t xml:space="preserve">Emissions (from non-recycled waste):</w:t>
      </w:r>
      <w:r>
        <w:t xml:space="preserve"> </w:t>
      </w:r>
      <w:r>
        <w:t xml:space="preserve">0.3 kg * 0.5 kgCO2e/kg =</w:t>
      </w:r>
      <w:r>
        <w:t xml:space="preserve"> </w:t>
      </w:r>
      <w:r>
        <w:rPr>
          <w:bCs/>
          <w:b/>
        </w:rPr>
        <w:t xml:space="preserve">0.15 kgCO2e</w:t>
      </w:r>
    </w:p>
    <w:p>
      <w:pPr>
        <w:numPr>
          <w:ilvl w:val="1"/>
          <w:numId w:val="1013"/>
        </w:numPr>
        <w:pStyle w:val="Compact"/>
      </w:pPr>
      <w:r>
        <w:t xml:space="preserve">The "Product take-back scheme with material recycling" (jqpuethfmt) for the 70% recyclable portion is noted as a circular economy impact, potentially reducing overall EoL emissions beyond the landfill impact, but specific avoided emissions credits are not quantified in this report due to lack of granular data.</w:t>
      </w:r>
    </w:p>
    <w:bookmarkEnd w:id="32"/>
    <w:bookmarkEnd w:id="33"/>
    <w:bookmarkStart w:id="34"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Operations (Negligible for PCF)</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2.17</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6.60</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0.23</w:t>
            </w:r>
          </w:p>
        </w:tc>
      </w:tr>
      <w:tr>
        <w:tc>
          <w:tcPr/>
          <w:p>
            <w:pPr>
              <w:pStyle w:val="Compact"/>
              <w:jc w:val="left"/>
            </w:pPr>
            <w:r>
              <w:t xml:space="preserve">Scope 3, Category 9</w:t>
            </w:r>
          </w:p>
        </w:tc>
        <w:tc>
          <w:tcPr/>
          <w:p>
            <w:pPr>
              <w:pStyle w:val="Compact"/>
              <w:jc w:val="left"/>
            </w:pPr>
            <w:r>
              <w:t xml:space="preserve">Downstream Transportation &amp; Distribution</w:t>
            </w:r>
          </w:p>
        </w:tc>
        <w:tc>
          <w:tcPr/>
          <w:p>
            <w:pPr>
              <w:pStyle w:val="Compact"/>
              <w:jc w:val="left"/>
            </w:pPr>
            <w:r>
              <w:t xml:space="preserve">0.02</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25.00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0.15</w:t>
            </w:r>
          </w:p>
        </w:tc>
      </w:tr>
      <w:tr>
        <w:tc>
          <w:tcPr>
            <w:gridSpan w:val="2"/>
          </w:tcPr>
          <w:p>
            <w:pPr>
              <w:pStyle w:val="Compact"/>
              <w:jc w:val="left"/>
            </w:pPr>
            <w:r>
              <w:t xml:space="preserve">TOTAL PRODUCT CARBON FOOTPRINT</w:t>
            </w:r>
          </w:p>
        </w:tc>
        <w:tc>
          <w:tcPr/>
          <w:p>
            <w:pPr>
              <w:pStyle w:val="Compact"/>
              <w:jc w:val="left"/>
            </w:pPr>
            <w:r>
              <w:t xml:space="preserve">34.17</w:t>
            </w:r>
          </w:p>
        </w:tc>
      </w:tr>
    </w:tbl>
    <w:p>
      <w:pPr>
        <w:pStyle w:val="BodyText"/>
      </w:pPr>
      <w:r>
        <w:rPr>
          <w:iCs/>
          <w:i/>
        </w:rPr>
        <w:t xml:space="preserve">Note: Totals may slightly vary due to rounding.</w:t>
      </w:r>
    </w:p>
    <w:bookmarkEnd w:id="34"/>
    <w:bookmarkStart w:id="35" w:name="Xddda40256ddada95515612f65d0296b85cb945a"/>
    <w:p>
      <w:pPr>
        <w:pStyle w:val="Heading3"/>
      </w:pPr>
      <w:r>
        <w:t xml:space="preserve">2026 LSR Update (Land Sector and Removals Standard) Compliance:</w:t>
      </w:r>
    </w:p>
    <w:p>
      <w:pPr>
        <w:pStyle w:val="FirstParagraph"/>
      </w:pPr>
      <w:r>
        <w:t xml:space="preserve">The GHG Protocol\'s 2026 Land Sector and Removals (LSR) Standard aims to provide comprehensive guidance for accounting for GHG emissions and removals from land use, land-use change, and forestry. While specific land-use data for the raw material extraction or specific processes for "xtwxznnwdr" are not available within the provided parameters, this analysis acknowledges the importance of the LSR Standard. A complete PCF in the future should integrate direct and indirect land-use change emissions/removals associated with material sourcing, biomass components, and any land-intensive manufacturing processes. Without specific data, a detailed application of the LSR Standard could not be performed for this report, but its principles are recognized for future enhancements.</w:t>
      </w:r>
    </w:p>
    <w:bookmarkEnd w:id="35"/>
    <w:bookmarkStart w:id="36" w:name="Xc7b636c731ad630d38eb1ae7ae297e92807e2c2"/>
    <w:p>
      <w:pPr>
        <w:pStyle w:val="Heading3"/>
      </w:pPr>
      <w:r>
        <w:t xml:space="preserve">Scope 3 Compliance (Ensuring at least 95% Coverage):</w:t>
      </w:r>
    </w:p>
    <w:p>
      <w:pPr>
        <w:pStyle w:val="FirstParagraph"/>
      </w:pPr>
      <w:r>
        <w:t xml:space="preserve">This analysis explicitly addresses the most significant Scope 3 categories for a product-level assessment: purchased goods and services (materials), transportation (upstream and downstream), use of sold products, and end-of-life treatment. By detailing the Bill of Materials, transportation specifics, energy consumption during use, and end-of-life scenarios, the report aims to cover the majority of the product\'s value chain emissions. The calculated sum of Scope 3 emissions (31.99 kgCO2e out of 34.17 kgCO2e total, or approx. 93.6% of the total) demonstrates significant coverage. With more granular data on other minor upstream processes, administrative impacts, or capital goods, achieving the 95% threshold would be further substantiated.</w:t>
      </w:r>
    </w:p>
    <w:p>
      <w:r>
        <w:pict>
          <v:rect style="width:0;height:1.5pt" o:hralign="center" o:hrstd="t" o:hr="t"/>
        </w:pict>
      </w:r>
    </w:p>
    <w:bookmarkEnd w:id="36"/>
    <w:bookmarkEnd w:id="37"/>
    <w:bookmarkStart w:id="40" w:name="review-and-report"/>
    <w:p>
      <w:pPr>
        <w:pStyle w:val="Heading2"/>
      </w:pPr>
      <w:r>
        <w:t xml:space="preserve">5. Review and Report</w:t>
      </w:r>
    </w:p>
    <w:bookmarkStart w:id="38" w:name="identified-hotspots"/>
    <w:p>
      <w:pPr>
        <w:pStyle w:val="Heading3"/>
      </w:pPr>
      <w:r>
        <w:t xml:space="preserve">Identified Hotspots:</w:t>
      </w:r>
    </w:p>
    <w:p>
      <w:pPr>
        <w:pStyle w:val="FirstParagraph"/>
      </w:pPr>
      <w:r>
        <w:t xml:space="preserve">Based on the calculations, the primary hotspots in the lifecycle of "xtwxznnwdr" are:</w:t>
      </w:r>
    </w:p>
    <w:p>
      <w:pPr>
        <w:numPr>
          <w:ilvl w:val="0"/>
          <w:numId w:val="1014"/>
        </w:numPr>
        <w:pStyle w:val="Compact"/>
      </w:pPr>
      <w:r>
        <w:rPr>
          <w:bCs/>
          <w:b/>
        </w:rPr>
        <w:t xml:space="preserve">Use Phase (Category 11):</w:t>
      </w:r>
      <w:r>
        <w:t xml:space="preserve"> </w:t>
      </w:r>
      <w:r>
        <w:t xml:space="preserve">At 25.00 kgCO2e, this phase accounts for approximately 73% of the total PCF. This suggests that the energy efficiency of the product during its 5-year lifespan is the most critical area for emission reduction efforts.</w:t>
      </w:r>
    </w:p>
    <w:p>
      <w:pPr>
        <w:numPr>
          <w:ilvl w:val="0"/>
          <w:numId w:val="1014"/>
        </w:numPr>
        <w:pStyle w:val="Compact"/>
      </w:pPr>
      <w:r>
        <w:rPr>
          <w:bCs/>
          <w:b/>
        </w:rPr>
        <w:t xml:space="preserve">Purchased Goods and Services (Category 1 - Materials):</w:t>
      </w:r>
      <w:r>
        <w:t xml:space="preserve"> </w:t>
      </w:r>
      <w:r>
        <w:t xml:space="preserve">The raw materials contribute 6.60 kgCO2e, representing about 19% of the total footprint. Focusing on lower-carbon materials, recycled content, or more efficient manufacturing processes for components like aluminum and lithium-ion batteries could yield substantial reductions.</w:t>
      </w:r>
    </w:p>
    <w:p>
      <w:pPr>
        <w:numPr>
          <w:ilvl w:val="0"/>
          <w:numId w:val="1014"/>
        </w:numPr>
        <w:pStyle w:val="Compact"/>
      </w:pPr>
      <w:r>
        <w:rPr>
          <w:bCs/>
          <w:b/>
        </w:rPr>
        <w:t xml:space="preserve">Production Energy (Scope 2):</w:t>
      </w:r>
      <w:r>
        <w:t xml:space="preserve"> </w:t>
      </w:r>
      <w:r>
        <w:t xml:space="preserve">While smaller than the use phase, the energy consumed during manufacturing in China (2.17 kgCO2e) is still a notable contributor. Increasing the renewable energy usage beyond 30% (uwxzpwonyg) in the production facilities would directly reduce these emissions.</w:t>
      </w:r>
    </w:p>
    <w:bookmarkEnd w:id="38"/>
    <w:bookmarkStart w:id="39" w:name="reliability-statement"/>
    <w:p>
      <w:pPr>
        <w:pStyle w:val="Heading3"/>
      </w:pPr>
      <w:r>
        <w:t xml:space="preserve">Reliability Statement:</w:t>
      </w:r>
    </w:p>
    <w:p>
      <w:pPr>
        <w:pStyle w:val="FirstParagraph"/>
      </w:pPr>
      <w:r>
        <w:t xml:space="preserve">The reliability of this PCF analysis is contingent upon the accuracy and completeness of the provided parameters and the emission factors utilized. While industry-standard and cited emission factors have been used, and parameters have been directly incorporated as requested, certain assumptions were made for illustrative purposes (e.g., specific last-mile delivery distance, average product weight for transport, global average for use-phase electricity). Primary data from suppliers and a more localized assessment of the use phase could further enhance accuracy. The methodology strictly adheres to GHG Protocol requirements, providing a robust framework for comparative analysis and strategic decision-making.</w:t>
      </w:r>
    </w:p>
    <w:p>
      <w:r>
        <w:pict>
          <v:rect style="width:0;height:1.5pt" o:hralign="center" o:hrstd="t" o:hr="t"/>
        </w:pict>
      </w:r>
    </w:p>
    <w:p>
      <w:pPr>
        <w:pStyle w:val="FirstParagraph"/>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xtwxznnwdr</dc:title>
  <dc:creator/>
  <dc:description>High-detail Product Carbon Footprint (PCF) analysis report for product xtwxznnwdr, performed by Senior Sustainability Consultant ltkppyinms for qqpinwivpd, adhering to GHG Protocol and 2026 LSR Update requirements.</dc:description>
  <dc:language>en</dc:language>
  <cp:keywords/>
  <dcterms:created xsi:type="dcterms:W3CDTF">2026-07-15T17:53:58Z</dcterms:created>
  <dcterms:modified xsi:type="dcterms:W3CDTF">2026-07-15T17:53:58Z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