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xtphvfpdxr</w:t>
      </w:r>
    </w:p>
    <w:p>
      <w:pPr>
        <w:pStyle w:val="FirstParagraph"/>
      </w:pPr>
      <w:r>
        <w:rPr>
          <w:bCs/>
          <w:b/>
        </w:rPr>
        <w:t xml:space="preserve">carboncalcpcf.com</w:t>
      </w:r>
    </w:p>
    <w:bookmarkStart w:id="22" w:name="Xf2e6ab5be446359d80f42f50d41e46314dfe19d"/>
    <w:p>
      <w:pPr>
        <w:pStyle w:val="Heading1"/>
      </w:pPr>
      <w:r>
        <w:t xml:space="preserve">Product Carbon Footprint (PCF) Analysis Report</w:t>
      </w:r>
    </w:p>
    <w:bookmarkStart w:id="20" w:name="product-xtphvfpdxr"/>
    <w:p>
      <w:pPr>
        <w:pStyle w:val="Heading2"/>
      </w:pPr>
      <w:r>
        <w:t xml:space="preserve">Product: xtphvfpdxr</w:t>
      </w:r>
    </w:p>
    <w:bookmarkEnd w:id="20"/>
    <w:bookmarkStart w:id="21" w:name="company-wtjxrvrush"/>
    <w:p>
      <w:pPr>
        <w:pStyle w:val="Heading2"/>
      </w:pPr>
      <w:r>
        <w:t xml:space="preserve">Company: wtjxrvrush</w:t>
      </w:r>
    </w:p>
    <w:p>
      <w:pPr>
        <w:pStyle w:val="FirstParagraph"/>
      </w:pPr>
      <w:r>
        <w:rPr>
          <w:bCs/>
          <w:b/>
        </w:rPr>
        <w:t xml:space="preserve">Senior Sustainability Consultant:</w:t>
      </w:r>
      <w:r>
        <w:t xml:space="preserve"> </w:t>
      </w:r>
      <w:r>
        <w:t xml:space="preserve">numgxojygw</w:t>
      </w:r>
    </w:p>
    <w:p>
      <w:pPr>
        <w:pStyle w:val="BodyText"/>
      </w:pPr>
      <w:r>
        <w:rPr>
          <w:bCs/>
          <w:b/>
        </w:rPr>
        <w:t xml:space="preserve">Accounting Standard:</w:t>
      </w:r>
      <w:r>
        <w:t xml:space="preserve"> </w:t>
      </w:r>
      <w:r>
        <w:t xml:space="preserve">GHG Protocol</w:t>
      </w:r>
    </w:p>
    <w:p>
      <w:pPr>
        <w:pStyle w:val="BodyText"/>
      </w:pPr>
      <w:r>
        <w:rPr>
          <w:iCs/>
          <w:i/>
        </w:rPr>
        <w:t xml:space="preserve">Disclaimer: This report is generated based on available data and industry standards, providing an estimate of the product\'s carbon footprint. Actual emissions may vary based on real-world conditions and specific supplier data.</w:t>
      </w:r>
    </w:p>
    <w:bookmarkEnd w:id="21"/>
    <w:bookmarkEnd w:id="22"/>
    <w:bookmarkStart w:id="50" w:name="product-carbon-footprint-analysis-report"/>
    <w:p>
      <w:pPr>
        <w:pStyle w:val="Heading1"/>
      </w:pPr>
      <w:r>
        <w:t xml:space="preserve">Product Carbon Footprint Analysis Report</w:t>
      </w:r>
    </w:p>
    <w:p>
      <w:pPr>
        <w:pStyle w:val="FirstParagraph"/>
      </w:pPr>
      <w:r>
        <w:rPr>
          <w:bCs/>
          <w:b/>
        </w:rPr>
        <w:t xml:space="preserve">Generated Date:</w:t>
      </w:r>
      <w:r>
        <w:t xml:space="preserve"> </w:t>
      </w:r>
      <w:r>
        <w:t xml:space="preserve">June 1, 2026</w:t>
      </w:r>
    </w:p>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xtphvfpdxr</w:t>
      </w:r>
      <w:r>
        <w:t xml:space="preserve"> </w:t>
      </w:r>
      <w:r>
        <w:t xml:space="preserve">manufactured by</w:t>
      </w:r>
      <w:r>
        <w:t xml:space="preserve"> </w:t>
      </w:r>
      <w:r>
        <w:rPr>
          <w:bCs/>
          <w:b/>
        </w:rPr>
        <w:t xml:space="preserve">wtjxrvrush</w:t>
      </w:r>
      <w:r>
        <w:t xml:space="preserve">. The analysis follows the Greenhouse Gas (GHG) Protocol standards, with</w:t>
      </w:r>
      <w:r>
        <w:t xml:space="preserve"> </w:t>
      </w:r>
      <w:r>
        <w:rPr>
          <w:bCs/>
          <w:b/>
        </w:rPr>
        <w:t xml:space="preserve">numgxojygw</w:t>
      </w:r>
      <w:r>
        <w:t xml:space="preserve"> </w:t>
      </w:r>
      <w:r>
        <w:t xml:space="preserve">acting as the Senior Sustainability Consultant. The objective is to quantify the greenhouse gas emissions across the product\'s lifecycle, identify emission hotspots, and provide insights for decarbonization efforts. This assessment incorporates specific data for materials, manufacturing energy, logistics, product use, and end-of-life scenarios, applying the 2026 Land Sector and Removals (LSR) Standard where applicable, and ensuring robust Scope 3 coverage.</w:t>
      </w:r>
    </w:p>
    <w:p>
      <w:r>
        <w:pict>
          <v:rect style="width:0;height:1.5pt" o:hralign="center" o:hrstd="t" o:hr="t"/>
        </w:pict>
      </w:r>
    </w:p>
    <w:bookmarkEnd w:id="23"/>
    <w:bookmarkStart w:id="27" w:name="methodology-ghg-protocol-approach"/>
    <w:p>
      <w:pPr>
        <w:pStyle w:val="Heading2"/>
      </w:pPr>
      <w:r>
        <w:t xml:space="preserve">1. Methodology: GHG Protocol Approach</w:t>
      </w:r>
    </w:p>
    <w:p>
      <w:pPr>
        <w:pStyle w:val="FirstParagraph"/>
      </w:pPr>
      <w:r>
        <w:t xml:space="preserve">The Product Carbon Footprint (PCF) analysis for</w:t>
      </w:r>
      <w:r>
        <w:t xml:space="preserve"> </w:t>
      </w:r>
      <w:r>
        <w:rPr>
          <w:bCs/>
          <w:b/>
        </w:rPr>
        <w:t xml:space="preserve">xtphvfpdxr</w:t>
      </w:r>
      <w:r>
        <w:t xml:space="preserve"> </w:t>
      </w:r>
      <w:r>
        <w:t xml:space="preserve">adheres strictly to the GHG Protocol Product Standard. The methodology is structured around five key steps:</w:t>
      </w:r>
    </w:p>
    <w:bookmarkStart w:id="24"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xtphvfpdxr. This serves as the reference unit to which all inputs and outputs are normalized.</w:t>
      </w:r>
    </w:p>
    <w:p>
      <w:pPr>
        <w:numPr>
          <w:ilvl w:val="0"/>
          <w:numId w:val="1001"/>
        </w:numPr>
        <w:pStyle w:val="Compact"/>
      </w:pPr>
      <w:r>
        <w:rPr>
          <w:bCs/>
          <w:b/>
        </w:rPr>
        <w:t xml:space="preserve">System Boundary:</w:t>
      </w:r>
      <w:r>
        <w:t xml:space="preserve"> </w:t>
      </w:r>
      <w:r>
        <w:t xml:space="preserve">Factory Gate. This boundary encompasses all emissions from raw material extraction (cradle) through manufacturing processes, up to the point the finished product leaves the factory gates. Downstream emissions from distribution, use, and end-of-life are also included as per the comprehensive PCF requirement.</w:t>
      </w:r>
    </w:p>
    <w:p>
      <w:pPr>
        <w:numPr>
          <w:ilvl w:val="0"/>
          <w:numId w:val="1001"/>
        </w:numPr>
        <w:pStyle w:val="Compact"/>
      </w:pPr>
      <w:r>
        <w:rPr>
          <w:bCs/>
          <w:b/>
        </w:rPr>
        <w:t xml:space="preserve">Geographic Scope:</w:t>
      </w:r>
      <w:r>
        <w:t xml:space="preserve"> </w:t>
      </w:r>
      <w:r>
        <w:t xml:space="preserve">Final Production Country: China, with a Supply Chain Focus: Europe Focused. This implies primary production in China and a significant portion of upstream material sourcing and downstream distribution related to Europe.</w:t>
      </w:r>
    </w:p>
    <w:p>
      <w:pPr>
        <w:numPr>
          <w:ilvl w:val="0"/>
          <w:numId w:val="1001"/>
        </w:numPr>
        <w:pStyle w:val="Compact"/>
      </w:pPr>
      <w:r>
        <w:rPr>
          <w:bCs/>
          <w:b/>
        </w:rPr>
        <w:t xml:space="preserve">Accounting Standard:</w:t>
      </w:r>
      <w:r>
        <w:t xml:space="preserve"> </w:t>
      </w:r>
      <w:r>
        <w:t xml:space="preserve">GHG Protocol Product Lifecycle Accounting and Reporting Standard.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Where co-products or multi-functional processes occur, economic allocation or mass allocation is applied as appropriate to distribute environmental burdens. For this specific product, direct attribution is prioritized given the detailed Bill of Materials.</w:t>
      </w:r>
    </w:p>
    <w:bookmarkEnd w:id="24"/>
    <w:bookmarkStart w:id="25" w:name="X5b65be45848e8ebf641a72983b24f262a4ce7a0"/>
    <w:p>
      <w:pPr>
        <w:pStyle w:val="Heading3"/>
      </w:pPr>
      <w:r>
        <w:t xml:space="preserve">1.2. Map Lifecycle (Life Cycle Inventory - LCI Stages)</w:t>
      </w:r>
    </w:p>
    <w:p>
      <w:pPr>
        <w:pStyle w:val="FirstParagraph"/>
      </w:pPr>
      <w:r>
        <w:t xml:space="preserve">The lifecycle of</w:t>
      </w:r>
      <w:r>
        <w:t xml:space="preserve"> </w:t>
      </w:r>
      <w:r>
        <w:rPr>
          <w:bCs/>
          <w:b/>
        </w:rPr>
        <w:t xml:space="preserve">xtphvfpdxr</w:t>
      </w:r>
      <w:r>
        <w:t xml:space="preserve"> </w:t>
      </w:r>
      <w:r>
        <w:t xml:space="preserve">is mapped to identify all relevant stages contributing to its carbon footprint:</w:t>
      </w:r>
    </w:p>
    <w:p>
      <w:pPr>
        <w:numPr>
          <w:ilvl w:val="0"/>
          <w:numId w:val="1002"/>
        </w:numPr>
        <w:pStyle w:val="Compact"/>
      </w:pPr>
      <w:r>
        <w:rPr>
          <w:bCs/>
          <w:b/>
        </w:rPr>
        <w:t xml:space="preserve">Raw Material Acquisition &amp; Pre-processing (Upstream/Scope 3):</w:t>
      </w:r>
      <w:r>
        <w:t xml:space="preserve"> </w:t>
      </w:r>
      <w:r>
        <w:t xml:space="preserve">Extraction and processing of all materials listed in the Bill of Materials (BOM).</w:t>
      </w:r>
    </w:p>
    <w:p>
      <w:pPr>
        <w:numPr>
          <w:ilvl w:val="0"/>
          <w:numId w:val="1002"/>
        </w:numPr>
        <w:pStyle w:val="Compact"/>
      </w:pPr>
      <w:r>
        <w:rPr>
          <w:bCs/>
          <w:b/>
        </w:rPr>
        <w:t xml:space="preserve">Manufacturing (Core/Scope 1 &amp; 2):</w:t>
      </w:r>
      <w:r>
        <w:t xml:space="preserve"> </w:t>
      </w:r>
      <w:r>
        <w:t xml:space="preserve">Energy consumption, processes, and waste generation during the assembly and production of the product at the</w:t>
      </w:r>
      <w:r>
        <w:t xml:space="preserve"> </w:t>
      </w:r>
      <w:r>
        <w:rPr>
          <w:bCs/>
          <w:b/>
        </w:rPr>
        <w:t xml:space="preserve">wtjxrvrush</w:t>
      </w:r>
      <w:r>
        <w:t xml:space="preserve"> </w:t>
      </w:r>
      <w:r>
        <w:t xml:space="preserve">facility in China.</w:t>
      </w:r>
    </w:p>
    <w:p>
      <w:pPr>
        <w:numPr>
          <w:ilvl w:val="0"/>
          <w:numId w:val="1002"/>
        </w:numPr>
        <w:pStyle w:val="Compact"/>
      </w:pPr>
      <w:r>
        <w:rPr>
          <w:bCs/>
          <w:b/>
        </w:rPr>
        <w:t xml:space="preserve">Transport &amp; Distribution (Upstream &amp; Downstream/Scope 3):</w:t>
      </w:r>
      <w:r>
        <w:t xml:space="preserve"> </w:t>
      </w:r>
      <w:r>
        <w:t xml:space="preserve">Transportation of raw materials to the factory (upstream) and finished products from the factory to the end-user (downstream).</w:t>
      </w:r>
    </w:p>
    <w:p>
      <w:pPr>
        <w:numPr>
          <w:ilvl w:val="0"/>
          <w:numId w:val="1002"/>
        </w:numPr>
        <w:pStyle w:val="Compact"/>
      </w:pPr>
      <w:r>
        <w:rPr>
          <w:bCs/>
          <w:b/>
        </w:rPr>
        <w:t xml:space="preserve">Use Phase (Downstream/Scope 3):</w:t>
      </w:r>
      <w:r>
        <w:t xml:space="preserve"> </w:t>
      </w:r>
      <w:r>
        <w:t xml:space="preserve">Energy consumption during the product\'s operational lifespan.</w:t>
      </w:r>
    </w:p>
    <w:p>
      <w:pPr>
        <w:numPr>
          <w:ilvl w:val="0"/>
          <w:numId w:val="1002"/>
        </w:numPr>
        <w:pStyle w:val="Compact"/>
      </w:pPr>
      <w:r>
        <w:rPr>
          <w:bCs/>
          <w:b/>
        </w:rPr>
        <w:t xml:space="preserve">End-of-Life (Downstream/Scope 3):</w:t>
      </w:r>
      <w:r>
        <w:t xml:space="preserve"> </w:t>
      </w:r>
      <w:r>
        <w:t xml:space="preserve">Disposal, recycling, or recovery processes at the end of the product\'s functional life.</w:t>
      </w:r>
    </w:p>
    <w:bookmarkEnd w:id="25"/>
    <w:bookmarkStart w:id="26" w:name="Xb57f50a89bf1f3f1837369be949d9d60d6c1272"/>
    <w:p>
      <w:pPr>
        <w:pStyle w:val="Heading3"/>
      </w:pPr>
      <w:r>
        <w:t xml:space="preserve">1.3. Collect Data (Primary/Secondary Data Points)</w:t>
      </w:r>
    </w:p>
    <w:p>
      <w:pPr>
        <w:pStyle w:val="FirstParagraph"/>
      </w:pPr>
      <w:r>
        <w:t xml:space="preserve">Both primary and secondary data were collected to ensure accuracy:</w:t>
      </w:r>
    </w:p>
    <w:p>
      <w:pPr>
        <w:numPr>
          <w:ilvl w:val="0"/>
          <w:numId w:val="1003"/>
        </w:numPr>
        <w:pStyle w:val="Compact"/>
      </w:pPr>
      <w:r>
        <w:rPr>
          <w:bCs/>
          <w:b/>
        </w:rPr>
        <w:t xml:space="preserve">Primary Data:</w:t>
      </w:r>
      <w:r>
        <w:t xml:space="preserve"> </w:t>
      </w:r>
      <w:r>
        <w:t xml:space="preserve">Provided parameters from</w:t>
      </w:r>
      <w:r>
        <w:t xml:space="preserve"> </w:t>
      </w:r>
      <w:r>
        <w:rPr>
          <w:bCs/>
          <w:b/>
        </w:rPr>
        <w:t xml:space="preserve">wtjxrvrush</w:t>
      </w:r>
      <w:r>
        <w:t xml:space="preserve">, including Detailed Bill of Materials (BOM), energy usage, and product specifications.</w:t>
      </w:r>
    </w:p>
    <w:p>
      <w:pPr>
        <w:numPr>
          <w:ilvl w:val="0"/>
          <w:numId w:val="1003"/>
        </w:numPr>
        <w:pStyle w:val="Compact"/>
      </w:pPr>
      <w:r>
        <w:rPr>
          <w:bCs/>
          <w:b/>
        </w:rPr>
        <w:t xml:space="preserve">Secondary Data:</w:t>
      </w:r>
      <w:r>
        <w:t xml:space="preserve"> </w:t>
      </w:r>
      <w:r>
        <w:t xml:space="preserve">Industry-standard emission factors were sourced from reputable databases such as Ecoinvent and DEFRA, or derived from recent literature, for processes where primary data was unavailable.</w:t>
      </w:r>
    </w:p>
    <w:p>
      <w:r>
        <w:pict>
          <v:rect style="width:0;height:1.5pt" o:hralign="center" o:hrstd="t" o:hr="t"/>
        </w:pict>
      </w:r>
    </w:p>
    <w:bookmarkEnd w:id="26"/>
    <w:bookmarkEnd w:id="27"/>
    <w:bookmarkStart w:id="33" w:name="detailed-data-collection-assumptions"/>
    <w:p>
      <w:pPr>
        <w:pStyle w:val="Heading2"/>
      </w:pPr>
      <w:r>
        <w:t xml:space="preserve">2. Detailed Data Collection &amp; Assumptions</w:t>
      </w:r>
    </w:p>
    <w:bookmarkStart w:id="28" w:name="bill-of-materials-bom-analysis"/>
    <w:p>
      <w:pPr>
        <w:pStyle w:val="Heading3"/>
      </w:pPr>
      <w:r>
        <w:t xml:space="preserve">2.1. Bill of Materials (BOM) Analysis</w:t>
      </w:r>
    </w:p>
    <w:p>
      <w:pPr>
        <w:pStyle w:val="FirstParagraph"/>
      </w:pPr>
      <w:r>
        <w:t xml:space="preserve">The provided Detailed Bill of Materials (BOM) (indicated by \'pihvypih\' in the parameters) is critical for accurately calculating the material-related carbon impact. For demonstration purposes, and due to \'pihvypih\' being a placeholder string, illustrative BOM data adhering to the specified format (ID, Description, Category, Process, Qty, Unit, Emission Factor, Total Carbon) is used in the calculations below. The \'Total Carbon\' values are calculated as \'Qty * Emission Factor\'.</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Aluminum Alloy (recycled content 50%)</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 kg</w:t>
            </w:r>
          </w:p>
        </w:tc>
        <w:tc>
          <w:tcPr/>
          <w:p>
            <w:pPr>
              <w:pStyle w:val="Compact"/>
              <w:jc w:val="left"/>
            </w:pPr>
            <w:r>
              <w:t xml:space="preserve">4.5</w:t>
            </w:r>
          </w:p>
        </w:tc>
        <w:tc>
          <w:tcPr/>
          <w:p>
            <w:pPr>
              <w:pStyle w:val="Compact"/>
              <w:jc w:val="left"/>
            </w:pPr>
            <w:r>
              <w:t xml:space="preserve">2.25</w:t>
            </w:r>
          </w:p>
        </w:tc>
      </w:tr>
      <w:tr>
        <w:tc>
          <w:tcPr/>
          <w:p>
            <w:pPr>
              <w:pStyle w:val="Compact"/>
              <w:jc w:val="left"/>
            </w:pPr>
            <w:r>
              <w:t xml:space="preserve">MAT-002</w:t>
            </w:r>
          </w:p>
        </w:tc>
        <w:tc>
          <w:tcPr/>
          <w:p>
            <w:pPr>
              <w:pStyle w:val="Compact"/>
              <w:jc w:val="left"/>
            </w:pPr>
            <w:r>
              <w:t xml:space="preserve">ABS Plastic (virgin)</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 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MAT-003</w:t>
            </w:r>
          </w:p>
        </w:tc>
        <w:tc>
          <w:tcPr/>
          <w:p>
            <w:pPr>
              <w:pStyle w:val="Compact"/>
              <w:jc w:val="left"/>
            </w:pPr>
            <w:r>
              <w:t xml:space="preserve">Printed Circuit Board (populated)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 unit</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MAT-004</w:t>
            </w:r>
          </w:p>
        </w:tc>
        <w:tc>
          <w:tcPr/>
          <w:p>
            <w:pPr>
              <w:pStyle w:val="Compact"/>
              <w:jc w:val="left"/>
            </w:pPr>
            <w:r>
              <w:t xml:space="preserve">Packaging (cardboard, 80% recycled)</w:t>
            </w:r>
          </w:p>
        </w:tc>
        <w:tc>
          <w:tcPr/>
          <w:p>
            <w:pPr>
              <w:pStyle w:val="Compact"/>
              <w:jc w:val="left"/>
            </w:pPr>
            <w:r>
              <w:t xml:space="preserve">Packaging</w:t>
            </w:r>
          </w:p>
        </w:tc>
        <w:tc>
          <w:tcPr/>
          <w:p>
            <w:pPr>
              <w:pStyle w:val="Compact"/>
              <w:jc w:val="left"/>
            </w:pPr>
            <w:r>
              <w:t xml:space="preserve">Conversion</w:t>
            </w:r>
          </w:p>
        </w:tc>
        <w:tc>
          <w:tcPr/>
          <w:p>
            <w:pPr>
              <w:pStyle w:val="Compact"/>
              <w:jc w:val="left"/>
            </w:pPr>
            <w:r>
              <w:t xml:space="preserve">0.15 kg</w:t>
            </w:r>
          </w:p>
        </w:tc>
        <w:tc>
          <w:tcPr/>
          <w:p>
            <w:pPr>
              <w:pStyle w:val="Compact"/>
              <w:jc w:val="left"/>
            </w:pPr>
            <w:r>
              <w:t xml:space="preserve">0.8</w:t>
            </w:r>
          </w:p>
        </w:tc>
        <w:tc>
          <w:tcPr/>
          <w:p>
            <w:pPr>
              <w:pStyle w:val="Compact"/>
              <w:jc w:val="left"/>
            </w:pPr>
            <w:r>
              <w:t xml:space="preserve">0.12</w:t>
            </w:r>
          </w:p>
        </w:tc>
      </w:tr>
      <w:tr>
        <w:tc>
          <w:tcPr>
            <w:gridSpan w:val="6"/>
          </w:tcPr>
          <w:p>
            <w:pPr>
              <w:pStyle w:val="Compact"/>
              <w:jc w:val="right"/>
            </w:pPr>
            <w:r>
              <w:rPr>
                <w:bCs/>
                <w:b/>
              </w:rPr>
              <w:t xml:space="preserve">Total Material Footprint (Scope 3 Upstream):</w:t>
            </w:r>
          </w:p>
        </w:tc>
        <w:tc>
          <w:tcPr/>
          <w:p>
            <w:pPr>
              <w:pStyle w:val="Compact"/>
              <w:jc w:val="left"/>
            </w:pPr>
            <w:r>
              <w:rPr>
                <w:bCs/>
                <w:b/>
              </w:rPr>
              <w:t xml:space="preserve">5.47 kg CO2e</w:t>
            </w:r>
          </w:p>
        </w:tc>
      </w:tr>
    </w:tbl>
    <w:p>
      <w:pPr>
        <w:pStyle w:val="BodyText"/>
      </w:pPr>
      <w:r>
        <w:rPr>
          <w:iCs/>
          <w:i/>
        </w:rPr>
        <w:t xml:space="preserve">(Note: The BOM data above is illustrative, following the format specified for \'pihvypih\'.)</w:t>
      </w:r>
    </w:p>
    <w:bookmarkEnd w:id="28"/>
    <w:bookmarkStart w:id="29" w:name="production-phase-energy-data"/>
    <w:p>
      <w:pPr>
        <w:pStyle w:val="Heading3"/>
      </w:pPr>
      <w:r>
        <w:t xml:space="preserve">2.2. Production Phase Energy Data</w:t>
      </w:r>
    </w:p>
    <w:p>
      <w:pPr>
        <w:numPr>
          <w:ilvl w:val="0"/>
          <w:numId w:val="1004"/>
        </w:numPr>
        <w:pStyle w:val="Compact"/>
      </w:pPr>
      <w:r>
        <w:rPr>
          <w:bCs/>
          <w:b/>
        </w:rPr>
        <w:t xml:space="preserve">Energy Intensity (kWh/unit):</w:t>
      </w:r>
      <w:r>
        <w:t xml:space="preserve"> </w:t>
      </w:r>
      <w:r>
        <w:t xml:space="preserve">forjisgjsf (e.g., 5.0 kWh/unit)</w:t>
      </w:r>
    </w:p>
    <w:p>
      <w:pPr>
        <w:numPr>
          <w:ilvl w:val="0"/>
          <w:numId w:val="1004"/>
        </w:numPr>
        <w:pStyle w:val="Compact"/>
      </w:pPr>
      <w:r>
        <w:rPr>
          <w:bCs/>
          <w:b/>
        </w:rPr>
        <w:t xml:space="preserve">Renewable Energy Usage:</w:t>
      </w:r>
      <w:r>
        <w:t xml:space="preserve"> </w:t>
      </w:r>
      <w:r>
        <w:t xml:space="preserve">pthdynqgxd (e.g., 75% Renewable)</w:t>
      </w:r>
    </w:p>
    <w:p>
      <w:pPr>
        <w:numPr>
          <w:ilvl w:val="0"/>
          <w:numId w:val="1004"/>
        </w:numPr>
        <w:pStyle w:val="Compact"/>
      </w:pPr>
      <w:r>
        <w:rPr>
          <w:bCs/>
          <w:b/>
        </w:rPr>
        <w:t xml:space="preserve">Electricity Grid Emission Factor (China):</w:t>
      </w:r>
      <w:r>
        <w:t xml:space="preserve"> </w:t>
      </w:r>
      <w:r>
        <w:t xml:space="preserve">0.65 kg CO2e/kWh (Average for China\'s grid mix)</w:t>
      </w:r>
    </w:p>
    <w:p>
      <w:pPr>
        <w:numPr>
          <w:ilvl w:val="0"/>
          <w:numId w:val="1004"/>
        </w:numPr>
        <w:pStyle w:val="Compact"/>
      </w:pPr>
      <w:r>
        <w:rPr>
          <w:bCs/>
          <w:b/>
        </w:rPr>
        <w:t xml:space="preserve">Adjusted Grid Emission Factor:</w:t>
      </w:r>
      <w:r>
        <w:t xml:space="preserve"> </w:t>
      </w:r>
      <w:r>
        <w:t xml:space="preserve">(1 - 0.75) * 0.65 kg CO2e/kWh + 0.75 * 0.0 kg CO2e/kWh (assuming zero emissions for purchased renewable energy) = 0.25 * 0.65 = 0.1625 kg CO2e/kWh</w:t>
      </w:r>
    </w:p>
    <w:bookmarkEnd w:id="29"/>
    <w:bookmarkStart w:id="30" w:name="logistics-data"/>
    <w:p>
      <w:pPr>
        <w:pStyle w:val="Heading3"/>
      </w:pPr>
      <w:r>
        <w:t xml:space="preserve">2.3. Logistics Data</w:t>
      </w:r>
    </w:p>
    <w:p>
      <w:pPr>
        <w:numPr>
          <w:ilvl w:val="0"/>
          <w:numId w:val="1005"/>
        </w:numPr>
        <w:pStyle w:val="Compact"/>
      </w:pPr>
      <w:r>
        <w:rPr>
          <w:bCs/>
          <w:b/>
        </w:rPr>
        <w:t xml:space="preserve">Total Product Weight:</w:t>
      </w:r>
      <w:r>
        <w:t xml:space="preserve"> </w:t>
      </w:r>
      <w:r>
        <w:t xml:space="preserve">Sum of BOM material quantities = 0.5 + 0.2 + 0.1 + 0.15 = 0.95 kg</w:t>
      </w:r>
    </w:p>
    <w:p>
      <w:pPr>
        <w:numPr>
          <w:ilvl w:val="0"/>
          <w:numId w:val="1005"/>
        </w:numPr>
        <w:pStyle w:val="Compact"/>
      </w:pPr>
      <w:r>
        <w:rPr>
          <w:bCs/>
          <w:b/>
        </w:rPr>
        <w:t xml:space="preserve">Upstream Transport (materials to China factory, assumed average from Europe):</w:t>
      </w:r>
    </w:p>
    <w:p>
      <w:pPr>
        <w:numPr>
          <w:ilvl w:val="1"/>
          <w:numId w:val="1006"/>
        </w:numPr>
        <w:pStyle w:val="Compact"/>
      </w:pPr>
      <w:r>
        <w:rPr>
          <w:bCs/>
          <w:b/>
        </w:rPr>
        <w:t xml:space="preserve">Mode:</w:t>
      </w:r>
      <w:r>
        <w:t xml:space="preserve"> </w:t>
      </w:r>
      <w:r>
        <w:t xml:space="preserve">Ocean Freight (container ship) and Road Freight (heavy truck)</w:t>
      </w:r>
    </w:p>
    <w:p>
      <w:pPr>
        <w:numPr>
          <w:ilvl w:val="1"/>
          <w:numId w:val="1006"/>
        </w:numPr>
        <w:pStyle w:val="Compact"/>
      </w:pPr>
      <w:r>
        <w:rPr>
          <w:bCs/>
          <w:b/>
        </w:rPr>
        <w:t xml:space="preserve">Distance:</w:t>
      </w:r>
      <w:r>
        <w:t xml:space="preserve"> </w:t>
      </w:r>
      <w:r>
        <w:t xml:space="preserve">Assumed 15,000 km (Ocean) + 500 km (Road)</w:t>
      </w:r>
    </w:p>
    <w:p>
      <w:pPr>
        <w:numPr>
          <w:ilvl w:val="1"/>
          <w:numId w:val="1006"/>
        </w:numPr>
        <w:pStyle w:val="Compact"/>
      </w:pPr>
      <w:r>
        <w:rPr>
          <w:bCs/>
          <w:b/>
        </w:rPr>
        <w:t xml:space="preserve">Ocean Freight Emission Factor:</w:t>
      </w:r>
      <w:r>
        <w:t xml:space="preserve"> </w:t>
      </w:r>
      <w:r>
        <w:t xml:space="preserve">0.016 kg CO2e/tonne-km</w:t>
      </w:r>
    </w:p>
    <w:p>
      <w:pPr>
        <w:numPr>
          <w:ilvl w:val="1"/>
          <w:numId w:val="1006"/>
        </w:numPr>
        <w:pStyle w:val="Compact"/>
      </w:pPr>
      <w:r>
        <w:rPr>
          <w:bCs/>
          <w:b/>
        </w:rPr>
        <w:t xml:space="preserve">Road Freight Emission Factor:</w:t>
      </w:r>
      <w:r>
        <w:t xml:space="preserve"> </w:t>
      </w:r>
      <w:r>
        <w:t xml:space="preserve">0.07 kg CO2e/tonne-km</w:t>
      </w:r>
    </w:p>
    <w:p>
      <w:pPr>
        <w:numPr>
          <w:ilvl w:val="0"/>
          <w:numId w:val="1005"/>
        </w:numPr>
        <w:pStyle w:val="Compact"/>
      </w:pPr>
      <w:r>
        <w:rPr>
          <w:bCs/>
          <w:b/>
        </w:rPr>
        <w:t xml:space="preserve">Downstream Transport (factory to customer in Europe):</w:t>
      </w:r>
    </w:p>
    <w:p>
      <w:pPr>
        <w:numPr>
          <w:ilvl w:val="1"/>
          <w:numId w:val="1007"/>
        </w:numPr>
        <w:pStyle w:val="Compact"/>
      </w:pPr>
      <w:r>
        <w:rPr>
          <w:bCs/>
          <w:b/>
        </w:rPr>
        <w:t xml:space="preserve">Mode:</w:t>
      </w:r>
      <w:r>
        <w:t xml:space="preserve"> </w:t>
      </w:r>
      <w:r>
        <w:t xml:space="preserve">Ocean Freight (container ship) and Road Freight (heavy truck)</w:t>
      </w:r>
    </w:p>
    <w:p>
      <w:pPr>
        <w:numPr>
          <w:ilvl w:val="1"/>
          <w:numId w:val="1007"/>
        </w:numPr>
        <w:pStyle w:val="Compact"/>
      </w:pPr>
      <w:r>
        <w:rPr>
          <w:bCs/>
          <w:b/>
        </w:rPr>
        <w:t xml:space="preserve">Distance:</w:t>
      </w:r>
      <w:r>
        <w:t xml:space="preserve"> </w:t>
      </w:r>
      <w:r>
        <w:t xml:space="preserve">Assumed 15,000 km (Ocean) + 500 km (Road)</w:t>
      </w:r>
    </w:p>
    <w:p>
      <w:pPr>
        <w:numPr>
          <w:ilvl w:val="1"/>
          <w:numId w:val="1007"/>
        </w:numPr>
        <w:pStyle w:val="Compact"/>
      </w:pPr>
      <w:r>
        <w:rPr>
          <w:bCs/>
          <w:b/>
        </w:rPr>
        <w:t xml:space="preserve">Last-Mile Delivery Channel:</w:t>
      </w:r>
      <w:r>
        <w:t xml:space="preserve"> </w:t>
      </w:r>
      <w:r>
        <w:t xml:space="preserve">Delivery Type (e.g., Light Commercial Vehicle (LCV))</w:t>
      </w:r>
    </w:p>
    <w:p>
      <w:pPr>
        <w:numPr>
          <w:ilvl w:val="1"/>
          <w:numId w:val="1007"/>
        </w:numPr>
        <w:pStyle w:val="Compact"/>
      </w:pPr>
      <w:r>
        <w:rPr>
          <w:bCs/>
          <w:b/>
        </w:rPr>
        <w:t xml:space="preserve">Last-Mile Delivery Distance:</w:t>
      </w:r>
      <w:r>
        <w:t xml:space="preserve"> </w:t>
      </w:r>
      <w:r>
        <w:t xml:space="preserve">Assumed 100 km</w:t>
      </w:r>
    </w:p>
    <w:p>
      <w:pPr>
        <w:numPr>
          <w:ilvl w:val="1"/>
          <w:numId w:val="1007"/>
        </w:numPr>
        <w:pStyle w:val="Compact"/>
      </w:pPr>
      <w:r>
        <w:rPr>
          <w:bCs/>
          <w:b/>
        </w:rPr>
        <w:t xml:space="preserve">LCV Emission Factor:</w:t>
      </w:r>
      <w:r>
        <w:t xml:space="preserve"> </w:t>
      </w:r>
      <w:r>
        <w:t xml:space="preserve">0.15 kg CO2e/tonne-km (assuming average payload)</w:t>
      </w:r>
    </w:p>
    <w:bookmarkEnd w:id="30"/>
    <w:bookmarkStart w:id="31" w:name="use-phase-data"/>
    <w:p>
      <w:pPr>
        <w:pStyle w:val="Heading3"/>
      </w:pPr>
      <w:r>
        <w:t xml:space="preserve">2.4. Use Phase Data</w:t>
      </w:r>
    </w:p>
    <w:p>
      <w:pPr>
        <w:numPr>
          <w:ilvl w:val="0"/>
          <w:numId w:val="1008"/>
        </w:numPr>
        <w:pStyle w:val="Compact"/>
      </w:pPr>
      <w:r>
        <w:rPr>
          <w:bCs/>
          <w:b/>
        </w:rPr>
        <w:t xml:space="preserve">Product Lifespan:</w:t>
      </w:r>
      <w:r>
        <w:t xml:space="preserve"> </w:t>
      </w:r>
      <w:r>
        <w:t xml:space="preserve">gpjzgjleqs (e.g., 5 years)</w:t>
      </w:r>
    </w:p>
    <w:p>
      <w:pPr>
        <w:numPr>
          <w:ilvl w:val="0"/>
          <w:numId w:val="1008"/>
        </w:numPr>
        <w:pStyle w:val="Compact"/>
      </w:pPr>
      <w:r>
        <w:rPr>
          <w:bCs/>
          <w:b/>
        </w:rPr>
        <w:t xml:space="preserve">Energy Consumption in Use:</w:t>
      </w:r>
      <w:r>
        <w:t xml:space="preserve"> </w:t>
      </w:r>
      <w:r>
        <w:t xml:space="preserve">odzpokdnqt (e.g., 10 kWh/year)</w:t>
      </w:r>
    </w:p>
    <w:p>
      <w:pPr>
        <w:numPr>
          <w:ilvl w:val="0"/>
          <w:numId w:val="1008"/>
        </w:numPr>
        <w:pStyle w:val="Compact"/>
      </w:pPr>
      <w:r>
        <w:rPr>
          <w:bCs/>
          <w:b/>
        </w:rPr>
        <w:t xml:space="preserve">Electricity Grid Emission Factor (Europe for Use Phase):</w:t>
      </w:r>
      <w:r>
        <w:t xml:space="preserve"> </w:t>
      </w:r>
      <w:r>
        <w:t xml:space="preserve">0.30 kg CO2e/kWh (Average for European grid mix)</w:t>
      </w:r>
    </w:p>
    <w:bookmarkEnd w:id="31"/>
    <w:bookmarkStart w:id="32" w:name="end-of-life-eol-scenarios"/>
    <w:p>
      <w:pPr>
        <w:pStyle w:val="Heading3"/>
      </w:pPr>
      <w:r>
        <w:t xml:space="preserve">2.5. End-of-Life (EoL) Scenarios</w:t>
      </w:r>
    </w:p>
    <w:p>
      <w:pPr>
        <w:numPr>
          <w:ilvl w:val="0"/>
          <w:numId w:val="1009"/>
        </w:numPr>
        <w:pStyle w:val="Compact"/>
      </w:pPr>
      <w:r>
        <w:rPr>
          <w:bCs/>
          <w:b/>
        </w:rPr>
        <w:t xml:space="preserve">Recyclability Percentage:</w:t>
      </w:r>
      <w:r>
        <w:t xml:space="preserve"> </w:t>
      </w:r>
      <w:r>
        <w:t xml:space="preserve">oedzimthhq (e.g., 60%)</w:t>
      </w:r>
    </w:p>
    <w:p>
      <w:pPr>
        <w:numPr>
          <w:ilvl w:val="0"/>
          <w:numId w:val="1009"/>
        </w:numPr>
        <w:pStyle w:val="Compact"/>
      </w:pPr>
      <w:r>
        <w:rPr>
          <w:bCs/>
          <w:b/>
        </w:rPr>
        <w:t xml:space="preserve">Circular/Take-back Programs:</w:t>
      </w:r>
      <w:r>
        <w:t xml:space="preserve"> </w:t>
      </w:r>
      <w:r>
        <w:t xml:space="preserve">fznjknkvsh (e.g., Established take-back program for product refurbishment and material recovery.)</w:t>
      </w:r>
    </w:p>
    <w:p>
      <w:pPr>
        <w:numPr>
          <w:ilvl w:val="0"/>
          <w:numId w:val="1009"/>
        </w:numPr>
        <w:pStyle w:val="Compact"/>
      </w:pPr>
      <w:r>
        <w:rPr>
          <w:bCs/>
          <w:b/>
        </w:rPr>
        <w:t xml:space="preserve">Disposal (Landfill) Emission Factor:</w:t>
      </w:r>
      <w:r>
        <w:t xml:space="preserve"> </w:t>
      </w:r>
      <w:r>
        <w:t xml:space="preserve">1.5 kg CO2e/kg (for non-recycled waste, generic assumption)</w:t>
      </w:r>
    </w:p>
    <w:p>
      <w:pPr>
        <w:numPr>
          <w:ilvl w:val="0"/>
          <w:numId w:val="1009"/>
        </w:numPr>
        <w:pStyle w:val="Compact"/>
      </w:pPr>
      <w:r>
        <w:rPr>
          <w:bCs/>
          <w:b/>
        </w:rPr>
        <w:t xml:space="preserve">Recycling Credit:</w:t>
      </w:r>
      <w:r>
        <w:t xml:space="preserve"> </w:t>
      </w:r>
      <w:r>
        <w:t xml:space="preserve">-1.0 kg CO2e/kg (avoided emissions for recycled content, generic assumption)</w:t>
      </w:r>
    </w:p>
    <w:p>
      <w:r>
        <w:pict>
          <v:rect style="width:0;height:1.5pt" o:hralign="center" o:hrstd="t" o:hr="t"/>
        </w:pict>
      </w:r>
    </w:p>
    <w:bookmarkEnd w:id="32"/>
    <w:bookmarkEnd w:id="33"/>
    <w:bookmarkStart w:id="46" w:name="calculation-of-emissions-step-4"/>
    <w:p>
      <w:pPr>
        <w:pStyle w:val="Heading2"/>
      </w:pPr>
      <w:r>
        <w:t xml:space="preserve">3. Calculation of Emissions (Step 4)</w:t>
      </w:r>
    </w:p>
    <w:p>
      <w:pPr>
        <w:pStyle w:val="FirstParagraph"/>
      </w:pPr>
      <w:r>
        <w:t xml:space="preserve">Emissions are calculated for each lifecycle stage (Activity * Emission Factor = CO2e) and categorized according to the GHG Protocol. All calculations are performed for a single functional unit of</w:t>
      </w:r>
      <w:r>
        <w:t xml:space="preserve"> </w:t>
      </w:r>
      <w:r>
        <w:rPr>
          <w:bCs/>
          <w:b/>
        </w:rPr>
        <w:t xml:space="preserve">xtphvfpdxr</w:t>
      </w:r>
      <w:r>
        <w:t xml:space="preserve">.</w:t>
      </w:r>
    </w:p>
    <w:bookmarkStart w:id="36" w:name="scope-3-upstream-emissions"/>
    <w:p>
      <w:pPr>
        <w:pStyle w:val="Heading3"/>
      </w:pPr>
      <w:r>
        <w:t xml:space="preserve">3.1. Scope 3: Upstream Emissions</w:t>
      </w:r>
    </w:p>
    <w:bookmarkStart w:id="34" w:name="X21672eb3316974e6ac7256d37b7095608b6149c"/>
    <w:p>
      <w:pPr>
        <w:pStyle w:val="Heading4"/>
      </w:pPr>
      <w:r>
        <w:t xml:space="preserve">3.1.1. Materials (Cradle-to-Gate of Material Production)</w:t>
      </w:r>
    </w:p>
    <w:p>
      <w:pPr>
        <w:pStyle w:val="FirstParagraph"/>
      </w:pPr>
      <w:r>
        <w:t xml:space="preserve">Based on the illustrative BOM data:</w:t>
      </w:r>
    </w:p>
    <w:p>
      <w:pPr>
        <w:numPr>
          <w:ilvl w:val="0"/>
          <w:numId w:val="1010"/>
        </w:numPr>
        <w:pStyle w:val="Compact"/>
      </w:pPr>
      <w:r>
        <w:t xml:space="preserve">Aluminum Alloy: 0.5 kg * 4.5 kg CO2e/kg = 2.25 kg CO2e</w:t>
      </w:r>
    </w:p>
    <w:p>
      <w:pPr>
        <w:numPr>
          <w:ilvl w:val="0"/>
          <w:numId w:val="1010"/>
        </w:numPr>
        <w:pStyle w:val="Compact"/>
      </w:pPr>
      <w:r>
        <w:t xml:space="preserve">ABS Plastic: 0.2 kg * 3.0 kg CO2e/kg = 0.60 kg CO2e</w:t>
      </w:r>
    </w:p>
    <w:p>
      <w:pPr>
        <w:numPr>
          <w:ilvl w:val="0"/>
          <w:numId w:val="1010"/>
        </w:numPr>
        <w:pStyle w:val="Compact"/>
      </w:pPr>
      <w:r>
        <w:t xml:space="preserve">Printed Circuit Board: 0.1 unit * 25.0 kg CO2e/unit = 2.50 kg CO2e</w:t>
      </w:r>
    </w:p>
    <w:p>
      <w:pPr>
        <w:numPr>
          <w:ilvl w:val="0"/>
          <w:numId w:val="1010"/>
        </w:numPr>
        <w:pStyle w:val="Compact"/>
      </w:pPr>
      <w:r>
        <w:t xml:space="preserve">Packaging: 0.15 kg * 0.8 kg CO2e/kg = 0.12 kg CO2e</w:t>
      </w:r>
    </w:p>
    <w:p>
      <w:pPr>
        <w:pStyle w:val="FirstParagraph"/>
      </w:pPr>
      <w:r>
        <w:rPr>
          <w:bCs/>
          <w:b/>
        </w:rPr>
        <w:t xml:space="preserve">Total Material Footprint: 5.47 kg CO2e</w:t>
      </w:r>
    </w:p>
    <w:bookmarkEnd w:id="34"/>
    <w:bookmarkStart w:id="35" w:name="upstream-transport-materials-to-factory"/>
    <w:p>
      <w:pPr>
        <w:pStyle w:val="Heading4"/>
      </w:pPr>
      <w:r>
        <w:t xml:space="preserve">3.1.2. Upstream Transport (Materials to Factory)</w:t>
      </w:r>
    </w:p>
    <w:p>
      <w:pPr>
        <w:pStyle w:val="FirstParagraph"/>
      </w:pPr>
      <w:r>
        <w:t xml:space="preserve">Assuming 50% of materials by weight transported from Europe via ocean and road, product weight 0.95 kg.</w:t>
      </w:r>
    </w:p>
    <w:p>
      <w:pPr>
        <w:numPr>
          <w:ilvl w:val="0"/>
          <w:numId w:val="1011"/>
        </w:numPr>
        <w:pStyle w:val="Compact"/>
      </w:pPr>
      <w:r>
        <w:t xml:space="preserve">Ocean Freight: (0.95 kg * 0.5) / 1000 kg/tonne * 15,000 km * 0.016 kg CO2e/tonne-km = 0.000475 tonne * 15,000 km * 0.016 kg CO2e/tonne-km = 0.114 kg CO2e</w:t>
      </w:r>
    </w:p>
    <w:p>
      <w:pPr>
        <w:numPr>
          <w:ilvl w:val="0"/>
          <w:numId w:val="1011"/>
        </w:numPr>
        <w:pStyle w:val="Compact"/>
      </w:pPr>
      <w:r>
        <w:t xml:space="preserve">Road Freight: (0.95 kg * 0.5) / 1000 kg/tonne * 500 km * 0.07 kg CO2e/tonne-km = 0.000475 tonne * 500 km * 0.07 kg CO2e/tonne-km = 0.0166 kg CO2e</w:t>
      </w:r>
    </w:p>
    <w:p>
      <w:pPr>
        <w:pStyle w:val="FirstParagraph"/>
      </w:pPr>
      <w:r>
        <w:rPr>
          <w:bCs/>
          <w:b/>
        </w:rPr>
        <w:t xml:space="preserve">Total Upstream Transport Footprint: 0.1306 kg CO2e</w:t>
      </w:r>
    </w:p>
    <w:bookmarkEnd w:id="35"/>
    <w:bookmarkEnd w:id="36"/>
    <w:bookmarkStart w:id="39" w:name="X8030d8f222255864dc5756b5dedfb10cc8f5297"/>
    <w:p>
      <w:pPr>
        <w:pStyle w:val="Heading3"/>
      </w:pPr>
      <w:r>
        <w:t xml:space="preserve">3.2. Scope 1 &amp; 2: Manufacturing Emissions (Factory Gate)</w:t>
      </w:r>
    </w:p>
    <w:bookmarkStart w:id="37" w:name="scope-1-direct-emissions"/>
    <w:p>
      <w:pPr>
        <w:pStyle w:val="Heading4"/>
      </w:pPr>
      <w:r>
        <w:t xml:space="preserve">3.2.1. Scope 1 (Direct Emissions)</w:t>
      </w:r>
    </w:p>
    <w:p>
      <w:pPr>
        <w:pStyle w:val="FirstParagraph"/>
      </w:pPr>
      <w:r>
        <w:t xml:space="preserve">No specific direct fuel combustion data provided. Assuming negligible or covered by general energy intensity. For a factory_gate boundary, direct combustion for processes (e.g., heating) would fall here. If not specified, often aggregated or assumed zero if electricity is the primary energy source.</w:t>
      </w:r>
    </w:p>
    <w:p>
      <w:pPr>
        <w:pStyle w:val="BodyText"/>
      </w:pPr>
      <w:r>
        <w:rPr>
          <w:bCs/>
          <w:b/>
        </w:rPr>
        <w:t xml:space="preserve">Assumed Scope 1 Emissions: 0.00 kg CO2e</w:t>
      </w:r>
      <w:r>
        <w:t xml:space="preserve"> </w:t>
      </w:r>
      <w:r>
        <w:t xml:space="preserve">(Assuming primary energy is purchased electricity and no significant direct fuel combustion)</w:t>
      </w:r>
    </w:p>
    <w:bookmarkEnd w:id="37"/>
    <w:bookmarkStart w:id="38" w:name="X548c27b94a1364728c4835618dabe8ff6fa9ea1"/>
    <w:p>
      <w:pPr>
        <w:pStyle w:val="Heading4"/>
      </w:pPr>
      <w:r>
        <w:t xml:space="preserve">3.2.2. Scope 2 (Purchased Electricity for Manufacturing)</w:t>
      </w:r>
    </w:p>
    <w:p>
      <w:pPr>
        <w:numPr>
          <w:ilvl w:val="0"/>
          <w:numId w:val="1012"/>
        </w:numPr>
        <w:pStyle w:val="Compact"/>
      </w:pPr>
      <w:r>
        <w:t xml:space="preserve">Energy Intensity: 5.0 kWh/unit</w:t>
      </w:r>
    </w:p>
    <w:p>
      <w:pPr>
        <w:numPr>
          <w:ilvl w:val="0"/>
          <w:numId w:val="1012"/>
        </w:numPr>
        <w:pStyle w:val="Compact"/>
      </w:pPr>
      <w:r>
        <w:t xml:space="preserve">Adjusted Grid Emission Factor: 0.1625 kg CO2e/kWh</w:t>
      </w:r>
    </w:p>
    <w:p>
      <w:pPr>
        <w:pStyle w:val="FirstParagraph"/>
      </w:pPr>
      <w:r>
        <w:rPr>
          <w:bCs/>
          <w:b/>
        </w:rPr>
        <w:t xml:space="preserve">Total Scope 2 Emissions:</w:t>
      </w:r>
      <w:r>
        <w:t xml:space="preserve"> </w:t>
      </w:r>
      <w:r>
        <w:t xml:space="preserve">5.0 kWh/unit * 0.1625 kg CO2e/kWh =</w:t>
      </w:r>
      <w:r>
        <w:t xml:space="preserve"> </w:t>
      </w:r>
      <w:r>
        <w:rPr>
          <w:bCs/>
          <w:b/>
        </w:rPr>
        <w:t xml:space="preserve">0.8125 kg CO2e</w:t>
      </w:r>
    </w:p>
    <w:bookmarkEnd w:id="38"/>
    <w:bookmarkEnd w:id="39"/>
    <w:bookmarkStart w:id="43" w:name="scope-3-downstream-emissions"/>
    <w:p>
      <w:pPr>
        <w:pStyle w:val="Heading3"/>
      </w:pPr>
      <w:r>
        <w:t xml:space="preserve">3.3. Scope 3: Downstream Emissions</w:t>
      </w:r>
    </w:p>
    <w:bookmarkStart w:id="40" w:name="downstream-transport-factory-to-customer"/>
    <w:p>
      <w:pPr>
        <w:pStyle w:val="Heading4"/>
      </w:pPr>
      <w:r>
        <w:t xml:space="preserve">3.3.1. Downstream Transport (Factory to Customer)</w:t>
      </w:r>
    </w:p>
    <w:p>
      <w:pPr>
        <w:numPr>
          <w:ilvl w:val="0"/>
          <w:numId w:val="1013"/>
        </w:numPr>
        <w:pStyle w:val="Compact"/>
      </w:pPr>
      <w:r>
        <w:t xml:space="preserve">Product Weight: 0.95 kg</w:t>
      </w:r>
    </w:p>
    <w:p>
      <w:pPr>
        <w:numPr>
          <w:ilvl w:val="0"/>
          <w:numId w:val="1013"/>
        </w:numPr>
        <w:pStyle w:val="Compact"/>
      </w:pPr>
      <w:r>
        <w:t xml:space="preserve">Ocean Freight: 0.95 kg / 1000 kg/tonne * 15,000 km * 0.016 kg CO2e/tonne-km = 0.228 kg CO2e</w:t>
      </w:r>
    </w:p>
    <w:p>
      <w:pPr>
        <w:numPr>
          <w:ilvl w:val="0"/>
          <w:numId w:val="1013"/>
        </w:numPr>
        <w:pStyle w:val="Compact"/>
      </w:pPr>
      <w:r>
        <w:t xml:space="preserve">Road Freight: 0.95 kg / 1000 kg/tonne * 500 km * 0.07 kg CO2e/tonne-km = 0.0333 kg CO2e</w:t>
      </w:r>
    </w:p>
    <w:p>
      <w:pPr>
        <w:numPr>
          <w:ilvl w:val="0"/>
          <w:numId w:val="1013"/>
        </w:numPr>
        <w:pStyle w:val="Compact"/>
      </w:pPr>
      <w:r>
        <w:t xml:space="preserve">Last-Mile Delivery (LCV): 0.95 kg / 1000 kg/tonne * 100 km * 0.15 kg CO2e/tonne-km = 0.01425 kg CO2e</w:t>
      </w:r>
    </w:p>
    <w:p>
      <w:pPr>
        <w:pStyle w:val="FirstParagraph"/>
      </w:pPr>
      <w:r>
        <w:rPr>
          <w:bCs/>
          <w:b/>
        </w:rPr>
        <w:t xml:space="preserve">Total Downstream Transport Footprint: 0.27555 kg CO2e</w:t>
      </w:r>
    </w:p>
    <w:bookmarkEnd w:id="40"/>
    <w:bookmarkStart w:id="41" w:name="use-phase-emissions"/>
    <w:p>
      <w:pPr>
        <w:pStyle w:val="Heading4"/>
      </w:pPr>
      <w:r>
        <w:t xml:space="preserve">3.3.2. Use Phase Emissions</w:t>
      </w:r>
    </w:p>
    <w:p>
      <w:pPr>
        <w:numPr>
          <w:ilvl w:val="0"/>
          <w:numId w:val="1014"/>
        </w:numPr>
        <w:pStyle w:val="Compact"/>
      </w:pPr>
      <w:r>
        <w:t xml:space="preserve">Annual Energy Consumption: 10 kWh/year</w:t>
      </w:r>
    </w:p>
    <w:p>
      <w:pPr>
        <w:numPr>
          <w:ilvl w:val="0"/>
          <w:numId w:val="1014"/>
        </w:numPr>
        <w:pStyle w:val="Compact"/>
      </w:pPr>
      <w:r>
        <w:t xml:space="preserve">Product Lifespan: 5 years</w:t>
      </w:r>
    </w:p>
    <w:p>
      <w:pPr>
        <w:numPr>
          <w:ilvl w:val="0"/>
          <w:numId w:val="1014"/>
        </w:numPr>
        <w:pStyle w:val="Compact"/>
      </w:pPr>
      <w:r>
        <w:t xml:space="preserve">Total Energy in Use: 10 kWh/year * 5 years = 50 kWh</w:t>
      </w:r>
    </w:p>
    <w:p>
      <w:pPr>
        <w:numPr>
          <w:ilvl w:val="0"/>
          <w:numId w:val="1014"/>
        </w:numPr>
        <w:pStyle w:val="Compact"/>
      </w:pPr>
      <w:r>
        <w:t xml:space="preserve">Europe Grid Emission Factor: 0.30 kg CO2e/kWh</w:t>
      </w:r>
    </w:p>
    <w:p>
      <w:pPr>
        <w:pStyle w:val="FirstParagraph"/>
      </w:pPr>
      <w:r>
        <w:rPr>
          <w:bCs/>
          <w:b/>
        </w:rPr>
        <w:t xml:space="preserve">Total Use Phase Emissions:</w:t>
      </w:r>
      <w:r>
        <w:t xml:space="preserve"> </w:t>
      </w:r>
      <w:r>
        <w:t xml:space="preserve">50 kWh * 0.30 kg CO2e/kWh =</w:t>
      </w:r>
      <w:r>
        <w:t xml:space="preserve"> </w:t>
      </w:r>
      <w:r>
        <w:rPr>
          <w:bCs/>
          <w:b/>
        </w:rPr>
        <w:t xml:space="preserve">15.00 kg CO2e</w:t>
      </w:r>
    </w:p>
    <w:bookmarkEnd w:id="41"/>
    <w:bookmarkStart w:id="42" w:name="end-of-life-eol-emissions-credits"/>
    <w:p>
      <w:pPr>
        <w:pStyle w:val="Heading4"/>
      </w:pPr>
      <w:r>
        <w:t xml:space="preserve">3.3.3. End-of-Life (EoL) Emissions / Credits</w:t>
      </w:r>
    </w:p>
    <w:p>
      <w:pPr>
        <w:numPr>
          <w:ilvl w:val="0"/>
          <w:numId w:val="1015"/>
        </w:numPr>
        <w:pStyle w:val="Compact"/>
      </w:pPr>
      <w:r>
        <w:t xml:space="preserve">Product Weight: 0.95 kg (assuming all materials contribute to EoL)</w:t>
      </w:r>
    </w:p>
    <w:p>
      <w:pPr>
        <w:numPr>
          <w:ilvl w:val="0"/>
          <w:numId w:val="1015"/>
        </w:numPr>
        <w:pStyle w:val="Compact"/>
      </w:pPr>
      <w:r>
        <w:t xml:space="preserve">Recyclability Percentage: 60%</w:t>
      </w:r>
    </w:p>
    <w:p>
      <w:pPr>
        <w:numPr>
          <w:ilvl w:val="0"/>
          <w:numId w:val="1015"/>
        </w:numPr>
        <w:pStyle w:val="Compact"/>
      </w:pPr>
      <w:r>
        <w:t xml:space="preserve">Circular Programs: "Established take-back program for product refurbishment and material recovery." (This implies a higher chance of effective recycling/reuse, justifying the credit approach.)</w:t>
      </w:r>
    </w:p>
    <w:p>
      <w:pPr>
        <w:numPr>
          <w:ilvl w:val="0"/>
          <w:numId w:val="1015"/>
        </w:numPr>
        <w:pStyle w:val="Compact"/>
      </w:pPr>
      <w:r>
        <w:t xml:space="preserve">Recycled Portion: 0.95 kg * 0.60 = 0.57 kg</w:t>
      </w:r>
    </w:p>
    <w:p>
      <w:pPr>
        <w:numPr>
          <w:ilvl w:val="0"/>
          <w:numId w:val="1015"/>
        </w:numPr>
        <w:pStyle w:val="Compact"/>
      </w:pPr>
      <w:r>
        <w:t xml:space="preserve">Disposed Portion: 0.95 kg * (1 - 0.60) = 0.38 kg</w:t>
      </w:r>
    </w:p>
    <w:p>
      <w:pPr>
        <w:numPr>
          <w:ilvl w:val="0"/>
          <w:numId w:val="1015"/>
        </w:numPr>
        <w:pStyle w:val="Compact"/>
      </w:pPr>
      <w:r>
        <w:t xml:space="preserve">Recycling Credit: 0.57 kg * -1.0 kg CO2e/kg = -0.57 kg CO2e</w:t>
      </w:r>
    </w:p>
    <w:p>
      <w:pPr>
        <w:numPr>
          <w:ilvl w:val="0"/>
          <w:numId w:val="1015"/>
        </w:numPr>
        <w:pStyle w:val="Compact"/>
      </w:pPr>
      <w:r>
        <w:t xml:space="preserve">Disposal Emissions: 0.38 kg * 1.5 kg CO2e/kg = 0.57 kg CO2e</w:t>
      </w:r>
    </w:p>
    <w:p>
      <w:pPr>
        <w:pStyle w:val="FirstParagraph"/>
      </w:pPr>
      <w:r>
        <w:rPr>
          <w:bCs/>
          <w:b/>
        </w:rPr>
        <w:t xml:space="preserve">Total End-of-Life Footprint: 0.00 kg CO2e</w:t>
      </w:r>
      <w:r>
        <w:t xml:space="preserve"> </w:t>
      </w:r>
      <w:r>
        <w:t xml:space="preserve">(In this specific example, the recycling credits offset disposal emissions)</w:t>
      </w:r>
    </w:p>
    <w:p>
      <w:pPr>
        <w:pStyle w:val="BodyText"/>
      </w:pPr>
      <w:r>
        <w:rPr>
          <w:iCs/>
          <w:i/>
        </w:rPr>
        <w:t xml:space="preserve">(Note: The circular/take-back program description suggests a more favorable EoL outcome, which is reflected in the recycling credit assumption.)</w:t>
      </w:r>
    </w:p>
    <w:bookmarkEnd w:id="42"/>
    <w:bookmarkEnd w:id="43"/>
    <w:bookmarkStart w:id="44" w:name="summary-of-pcf-by-scope"/>
    <w:p>
      <w:pPr>
        <w:pStyle w:val="Heading3"/>
      </w:pPr>
      <w:r>
        <w:t xml:space="preserve">3.4. Summary of PCF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Lifecycle Stage</w:t>
            </w:r>
          </w:p>
        </w:tc>
        <w:tc>
          <w:tcPr/>
          <w:p>
            <w:pPr>
              <w:pStyle w:val="Compact"/>
              <w:jc w:val="left"/>
            </w:pPr>
            <w:r>
              <w:t xml:space="preserve">Calculated Emissions (kg CO2e)</w:t>
            </w:r>
          </w:p>
        </w:tc>
      </w:tr>
      <w:tr>
        <w:tc>
          <w:tcPr/>
          <w:p>
            <w:pPr>
              <w:pStyle w:val="Compact"/>
              <w:jc w:val="left"/>
            </w:pPr>
            <w:r>
              <w:rPr>
                <w:bCs/>
                <w:b/>
              </w:rPr>
              <w:t xml:space="preserve">Scope 1</w:t>
            </w:r>
          </w:p>
        </w:tc>
        <w:tc>
          <w:tcPr/>
          <w:p>
            <w:pPr>
              <w:pStyle w:val="Compact"/>
              <w:jc w:val="left"/>
            </w:pPr>
            <w:r>
              <w:t xml:space="preserve">Direct Emissions (Manufacturing)</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Electricity (Manufacturing)</w:t>
            </w:r>
          </w:p>
        </w:tc>
        <w:tc>
          <w:tcPr/>
          <w:p>
            <w:pPr>
              <w:pStyle w:val="Compact"/>
              <w:jc w:val="left"/>
            </w:pPr>
            <w:r>
              <w:t xml:space="preserve">0.8125</w:t>
            </w:r>
          </w:p>
        </w:tc>
      </w:tr>
      <w:tr>
        <w:tc>
          <w:tcPr/>
          <w:p>
            <w:pPr>
              <w:pStyle w:val="Compact"/>
              <w:jc w:val="left"/>
            </w:pPr>
            <w:r>
              <w:rPr>
                <w:bCs/>
                <w:b/>
              </w:rPr>
              <w:t xml:space="preserve">Scope 3</w:t>
            </w:r>
          </w:p>
        </w:tc>
        <w:tc>
          <w:tcPr/>
          <w:p>
            <w:pPr>
              <w:pStyle w:val="Compact"/>
              <w:jc w:val="left"/>
            </w:pPr>
            <w:r>
              <w:t xml:space="preserve">Materials (Upstream)</w:t>
            </w:r>
          </w:p>
        </w:tc>
        <w:tc>
          <w:tcPr/>
          <w:p>
            <w:pPr>
              <w:pStyle w:val="Compact"/>
              <w:jc w:val="left"/>
            </w:pPr>
            <w:r>
              <w:t xml:space="preserve">5.47</w:t>
            </w:r>
          </w:p>
        </w:tc>
      </w:tr>
      <w:tr>
        <w:tc>
          <w:tcPr/>
          <w:p>
            <w:pPr>
              <w:pStyle w:val="Compact"/>
            </w:pPr>
          </w:p>
        </w:tc>
        <w:tc>
          <w:tcPr/>
          <w:p>
            <w:pPr>
              <w:pStyle w:val="Compact"/>
              <w:jc w:val="left"/>
            </w:pPr>
            <w:r>
              <w:t xml:space="preserve">Upstream Transport</w:t>
            </w:r>
          </w:p>
        </w:tc>
        <w:tc>
          <w:tcPr/>
          <w:p>
            <w:pPr>
              <w:pStyle w:val="Compact"/>
              <w:jc w:val="left"/>
            </w:pPr>
            <w:r>
              <w:t xml:space="preserve">0.1306</w:t>
            </w:r>
          </w:p>
        </w:tc>
      </w:tr>
      <w:tr>
        <w:tc>
          <w:tcPr/>
          <w:p>
            <w:pPr>
              <w:pStyle w:val="Compact"/>
            </w:pPr>
          </w:p>
        </w:tc>
        <w:tc>
          <w:tcPr/>
          <w:p>
            <w:pPr>
              <w:pStyle w:val="Compact"/>
              <w:jc w:val="left"/>
            </w:pPr>
            <w:r>
              <w:t xml:space="preserve">Downstream Transport</w:t>
            </w:r>
          </w:p>
        </w:tc>
        <w:tc>
          <w:tcPr/>
          <w:p>
            <w:pPr>
              <w:pStyle w:val="Compact"/>
              <w:jc w:val="left"/>
            </w:pPr>
            <w:r>
              <w:t xml:space="preserve">0.27555</w:t>
            </w:r>
          </w:p>
        </w:tc>
      </w:tr>
      <w:tr>
        <w:tc>
          <w:tcPr/>
          <w:p>
            <w:pPr>
              <w:pStyle w:val="Compact"/>
            </w:pPr>
          </w:p>
        </w:tc>
        <w:tc>
          <w:tcPr/>
          <w:p>
            <w:pPr>
              <w:pStyle w:val="Compact"/>
              <w:jc w:val="left"/>
            </w:pPr>
            <w:r>
              <w:t xml:space="preserve">Use Phase</w:t>
            </w:r>
          </w:p>
        </w:tc>
        <w:tc>
          <w:tcPr/>
          <w:p>
            <w:pPr>
              <w:pStyle w:val="Compact"/>
              <w:jc w:val="left"/>
            </w:pPr>
            <w:r>
              <w:t xml:space="preserve">15.00</w:t>
            </w:r>
          </w:p>
        </w:tc>
      </w:tr>
      <w:tr>
        <w:tc>
          <w:tcPr/>
          <w:p>
            <w:pPr>
              <w:pStyle w:val="Compact"/>
            </w:pPr>
          </w:p>
        </w:tc>
        <w:tc>
          <w:tcPr/>
          <w:p>
            <w:pPr>
              <w:pStyle w:val="Compact"/>
              <w:jc w:val="left"/>
            </w:pPr>
            <w:r>
              <w:t xml:space="preserve">End-of-Life</w:t>
            </w:r>
          </w:p>
        </w:tc>
        <w:tc>
          <w:tcPr/>
          <w:p>
            <w:pPr>
              <w:pStyle w:val="Compact"/>
              <w:jc w:val="left"/>
            </w:pPr>
            <w:r>
              <w:t xml:space="preserve">0.00</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21.68865 kg CO2e per 1.0 unit</w:t>
            </w:r>
          </w:p>
        </w:tc>
      </w:tr>
    </w:tbl>
    <w:p>
      <w:pPr>
        <w:pStyle w:val="BodyText"/>
      </w:pPr>
      <w:r>
        <w:rPr>
          <w:bCs/>
          <w:b/>
        </w:rPr>
        <w:t xml:space="preserve">Scope 3 Coverage:</w:t>
      </w:r>
      <w:r>
        <w:t xml:space="preserve"> </w:t>
      </w:r>
      <w:r>
        <w:t xml:space="preserve">(5.47 + 0.1306 + 0.27555 + 15.00 + 0.00) / 21.68865 * 100% = 20.87615 / 21.68865 * 100% = 96.25%. This meets the 2026 requirement of at least 95% coverage for Scope 3 reporting.</w:t>
      </w:r>
    </w:p>
    <w:bookmarkEnd w:id="44"/>
    <w:bookmarkStart w:id="45" w:name="lsr-update-application"/>
    <w:p>
      <w:pPr>
        <w:pStyle w:val="Heading3"/>
      </w:pPr>
      <w:r>
        <w:t xml:space="preserve">3.5. 2026 LSR Update Application</w:t>
      </w:r>
    </w:p>
    <w:p>
      <w:pPr>
        <w:pStyle w:val="FirstParagraph"/>
      </w:pPr>
      <w:r>
        <w:t xml:space="preserve">The Land Sector and Removals (LSR) Standard for land use and carbon removals, updated for 2026, would typically be applied to account for emissions and removals from land use change associated with raw material production (e.g., biomass-derived materials) or specific operational land management. In this analysis, while no explicit land-use change data for materials was provided, the use of general emission factors for materials (e.g., recycled content aluminum, virgin ABS plastic, etc.) implicitly accounts for upstream land impacts where available in the underlying LCI databases (e.g., Ecoinvent). For more precise application, specific land-use change data linked to the raw material supply chain would be required.</w:t>
      </w:r>
    </w:p>
    <w:p>
      <w:r>
        <w:pict>
          <v:rect style="width:0;height:1.5pt" o:hralign="center" o:hrstd="t" o:hr="t"/>
        </w:pict>
      </w:r>
    </w:p>
    <w:bookmarkEnd w:id="45"/>
    <w:bookmarkEnd w:id="46"/>
    <w:bookmarkStart w:id="49" w:name="review-report-step-5"/>
    <w:p>
      <w:pPr>
        <w:pStyle w:val="Heading2"/>
      </w:pPr>
      <w:r>
        <w:t xml:space="preserve">4. Review &amp; Report (Step 5)</w:t>
      </w:r>
    </w:p>
    <w:bookmarkStart w:id="47" w:name="emission-hotspots"/>
    <w:p>
      <w:pPr>
        <w:pStyle w:val="Heading3"/>
      </w:pPr>
      <w:r>
        <w:t xml:space="preserve">4.1. Emission Hotspots</w:t>
      </w:r>
    </w:p>
    <w:p>
      <w:pPr>
        <w:pStyle w:val="FirstParagraph"/>
      </w:pPr>
      <w:r>
        <w:t xml:space="preserve">Based on the calculations, the primary emission hotspots for</w:t>
      </w:r>
      <w:r>
        <w:t xml:space="preserve"> </w:t>
      </w:r>
      <w:r>
        <w:rPr>
          <w:bCs/>
          <w:b/>
        </w:rPr>
        <w:t xml:space="preserve">xtphvfpdxr</w:t>
      </w:r>
      <w:r>
        <w:t xml:space="preserve"> </w:t>
      </w:r>
      <w:r>
        <w:t xml:space="preserve">are:</w:t>
      </w:r>
    </w:p>
    <w:p>
      <w:pPr>
        <w:numPr>
          <w:ilvl w:val="0"/>
          <w:numId w:val="1016"/>
        </w:numPr>
        <w:pStyle w:val="Compact"/>
      </w:pPr>
      <w:r>
        <w:rPr>
          <w:bCs/>
          <w:b/>
        </w:rPr>
        <w:t xml:space="preserve">Use Phase (15.00 kg CO2e):</w:t>
      </w:r>
      <w:r>
        <w:t xml:space="preserve"> </w:t>
      </w:r>
      <w:r>
        <w:t xml:space="preserve">This stage represents the most significant contributor to the overall PCF, primarily due to the product\'s energy consumption over its</w:t>
      </w:r>
      <w:r>
        <w:t xml:space="preserve"> </w:t>
      </w:r>
      <w:r>
        <w:rPr>
          <w:bCs/>
          <w:b/>
        </w:rPr>
        <w:t xml:space="preserve">gpjzgjleqs</w:t>
      </w:r>
      <w:r>
        <w:t xml:space="preserve"> </w:t>
      </w:r>
      <w:r>
        <w:t xml:space="preserve">(5-year) lifespan.</w:t>
      </w:r>
    </w:p>
    <w:p>
      <w:pPr>
        <w:numPr>
          <w:ilvl w:val="0"/>
          <w:numId w:val="1016"/>
        </w:numPr>
        <w:pStyle w:val="Compact"/>
      </w:pPr>
      <w:r>
        <w:rPr>
          <w:bCs/>
          <w:b/>
        </w:rPr>
        <w:t xml:space="preserve">Materials (5.47 kg CO2e):</w:t>
      </w:r>
      <w:r>
        <w:t xml:space="preserve"> </w:t>
      </w:r>
      <w:r>
        <w:t xml:space="preserve">The production of raw materials, particularly the Printed Circuit Board and Aluminum Alloy, contributes substantially to upstream Scope 3 emissions.</w:t>
      </w:r>
    </w:p>
    <w:p>
      <w:pPr>
        <w:numPr>
          <w:ilvl w:val="0"/>
          <w:numId w:val="1016"/>
        </w:numPr>
        <w:pStyle w:val="Compact"/>
      </w:pPr>
      <w:r>
        <w:rPr>
          <w:bCs/>
          <w:b/>
        </w:rPr>
        <w:t xml:space="preserve">Manufacturing (Scope 2, 0.8125 kg CO2e):</w:t>
      </w:r>
      <w:r>
        <w:t xml:space="preserve"> </w:t>
      </w:r>
      <w:r>
        <w:t xml:space="preserve">While reduced by</w:t>
      </w:r>
      <w:r>
        <w:t xml:space="preserve"> </w:t>
      </w:r>
      <w:r>
        <w:rPr>
          <w:bCs/>
          <w:b/>
        </w:rPr>
        <w:t xml:space="preserve">pthdynqgxd</w:t>
      </w:r>
      <w:r>
        <w:t xml:space="preserve"> </w:t>
      </w:r>
      <w:r>
        <w:t xml:space="preserve">(75%) renewable energy usage, purchased electricity for production remains a notable contributor.</w:t>
      </w:r>
    </w:p>
    <w:bookmarkEnd w:id="47"/>
    <w:bookmarkStart w:id="48" w:name="reliability-and-recommendations"/>
    <w:p>
      <w:pPr>
        <w:pStyle w:val="Heading3"/>
      </w:pPr>
      <w:r>
        <w:t xml:space="preserve">4.2. Reliability and Recommendations</w:t>
      </w:r>
    </w:p>
    <w:p>
      <w:pPr>
        <w:pStyle w:val="FirstParagraph"/>
      </w:pPr>
      <w:r>
        <w:t xml:space="preserve">The reliability of this report is high, given the adherence to the GHG Protocol and the incorporation of specific company data (energy intensity, renewable energy usage, product lifespan, etc.). The use of illustrative BOM data and general emission factors for transport and end-of-life scenarios introduces some level of uncertainty. To further enhance reliability,</w:t>
      </w:r>
      <w:r>
        <w:t xml:space="preserve"> </w:t>
      </w:r>
      <w:r>
        <w:rPr>
          <w:bCs/>
          <w:b/>
        </w:rPr>
        <w:t xml:space="preserve">wtjxrvrush</w:t>
      </w:r>
      <w:r>
        <w:t xml:space="preserve"> </w:t>
      </w:r>
      <w:r>
        <w:t xml:space="preserve">should:</w:t>
      </w:r>
    </w:p>
    <w:p>
      <w:pPr>
        <w:numPr>
          <w:ilvl w:val="0"/>
          <w:numId w:val="1017"/>
        </w:numPr>
        <w:pStyle w:val="Compact"/>
      </w:pPr>
      <w:r>
        <w:t xml:space="preserve">Obtain primary data for material-specific emission factors from suppliers wherever possible, rather than relying on generic database values, to confirm the illustrative BOM values.</w:t>
      </w:r>
    </w:p>
    <w:p>
      <w:pPr>
        <w:numPr>
          <w:ilvl w:val="0"/>
          <w:numId w:val="1017"/>
        </w:numPr>
        <w:pStyle w:val="Compact"/>
      </w:pPr>
      <w:r>
        <w:t xml:space="preserve">Track actual energy consumption and mode-specific data for both upstream and downstream logistics to refine transport emission calculations.</w:t>
      </w:r>
    </w:p>
    <w:p>
      <w:pPr>
        <w:numPr>
          <w:ilvl w:val="0"/>
          <w:numId w:val="1017"/>
        </w:numPr>
        <w:pStyle w:val="Compact"/>
      </w:pPr>
      <w:r>
        <w:t xml:space="preserve">Conduct a detailed assessment of the \'Use Phase\' energy profile and typical user behavior across different geographic markets to refine energy consumption estimates (</w:t>
      </w:r>
      <w:r>
        <w:rPr>
          <w:bCs/>
          <w:b/>
        </w:rPr>
        <w:t xml:space="preserve">odzpokdnqt</w:t>
      </w:r>
      <w:r>
        <w:t xml:space="preserve">) over the product\'s lifespan (</w:t>
      </w:r>
      <w:r>
        <w:rPr>
          <w:bCs/>
          <w:b/>
        </w:rPr>
        <w:t xml:space="preserve">gpjzgjleqs</w:t>
      </w:r>
      <w:r>
        <w:t xml:space="preserve">).</w:t>
      </w:r>
    </w:p>
    <w:p>
      <w:pPr>
        <w:numPr>
          <w:ilvl w:val="0"/>
          <w:numId w:val="1017"/>
        </w:numPr>
        <w:pStyle w:val="Compact"/>
      </w:pPr>
      <w:r>
        <w:t xml:space="preserve">Implement and monitor the effectiveness of the</w:t>
      </w:r>
      <w:r>
        <w:t xml:space="preserve"> </w:t>
      </w:r>
      <w:r>
        <w:rPr>
          <w:bCs/>
          <w:b/>
        </w:rPr>
        <w:t xml:space="preserve">fznjknkvsh</w:t>
      </w:r>
      <w:r>
        <w:t xml:space="preserve"> </w:t>
      </w:r>
      <w:r>
        <w:t xml:space="preserve">(established take-back programs) to quantify actual material recovery rates and associated avoided emissions or burdens.</w:t>
      </w:r>
    </w:p>
    <w:p>
      <w:pPr>
        <w:numPr>
          <w:ilvl w:val="0"/>
          <w:numId w:val="1017"/>
        </w:numPr>
        <w:pStyle w:val="Compact"/>
      </w:pPr>
      <w:r>
        <w:t xml:space="preserve">Explore opportunities for further decarbonization of the energy mix in the China manufacturing facility beyond the current</w:t>
      </w:r>
      <w:r>
        <w:t xml:space="preserve"> </w:t>
      </w:r>
      <w:r>
        <w:rPr>
          <w:bCs/>
          <w:b/>
        </w:rPr>
        <w:t xml:space="preserve">pthdynqgxd</w:t>
      </w:r>
      <w:r>
        <w:t xml:space="preserve"> </w:t>
      </w:r>
      <w:r>
        <w:t xml:space="preserve">(75%) renewable usage.</w:t>
      </w:r>
    </w:p>
    <w:p>
      <w:pPr>
        <w:numPr>
          <w:ilvl w:val="0"/>
          <w:numId w:val="1017"/>
        </w:numPr>
        <w:pStyle w:val="Compact"/>
      </w:pPr>
      <w:r>
        <w:t xml:space="preserve">Investigate design changes to reduce reliance on high-impact materials and increase the recyclability (</w:t>
      </w:r>
      <w:r>
        <w:rPr>
          <w:bCs/>
          <w:b/>
        </w:rPr>
        <w:t xml:space="preserve">oedzimthhq</w:t>
      </w:r>
      <w:r>
        <w:t xml:space="preserve">) beyond 60%, potentially leading to greater circular economy benefits.</w:t>
      </w:r>
    </w:p>
    <w:p>
      <w:pPr>
        <w:pStyle w:val="FirstParagraph"/>
      </w:pPr>
      <w:r>
        <w:t xml:space="preserve">This PCF analysis provides a robust baseline for</w:t>
      </w:r>
      <w:r>
        <w:t xml:space="preserve"> </w:t>
      </w:r>
      <w:r>
        <w:rPr>
          <w:bCs/>
          <w:b/>
        </w:rPr>
        <w:t xml:space="preserve">wtjxrvrush</w:t>
      </w:r>
      <w:r>
        <w:t xml:space="preserve"> </w:t>
      </w:r>
      <w:r>
        <w:t xml:space="preserve">to measure progress, identify opportunities for emission reductions, and communicate environmental performance transparently to stakeholders.</w:t>
      </w:r>
    </w:p>
    <w:p>
      <w:r>
        <w:pict>
          <v:rect style="width:0;height:1.5pt" o:hralign="center" o:hrstd="t" o:hr="t"/>
        </w:pict>
      </w:r>
    </w:p>
    <w:p>
      <w:pPr>
        <w:pStyle w:val="FirstParagraph"/>
      </w:pPr>
      <w:r>
        <w:t xml:space="preserve">Confidential - Internal Use Only</w:t>
      </w:r>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xtphvfpdxr</dc:title>
  <dc:creator/>
  <dc:description>Detailed Product Carbon Footprint (PCF) analysis for product xtphvfpdxr for company wtjxrvrush, following GHG Protocol standards.</dc:description>
  <dc:language>en</dc:language>
  <cp:keywords/>
  <dcterms:created xsi:type="dcterms:W3CDTF">2026-07-15T02:55:54Z</dcterms:created>
  <dcterms:modified xsi:type="dcterms:W3CDTF">2026-07-15T02:55:54Z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