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xsszeejzgx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xsszeejzgx</w:t>
      </w:r>
    </w:p>
    <w:p>
      <w:pPr>
        <w:pStyle w:val="BodyText"/>
      </w:pPr>
      <w:r>
        <w:rPr>
          <w:bCs/>
          <w:b/>
        </w:rPr>
        <w:t xml:space="preserve">Company:</w:t>
      </w:r>
      <w:r>
        <w:t xml:space="preserve"> </w:t>
      </w:r>
      <w:r>
        <w:t xml:space="preserve">xjvezdgowx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eshhjyvpwv</w:t>
      </w:r>
    </w:p>
    <w:p>
      <w:pPr>
        <w:pStyle w:val="BodyText"/>
      </w:pPr>
      <w:r>
        <w:t xml:space="preserve">This report is generated based on available data and industry standards, providing an estimate of the product\'s carbon footprint.</w:t>
      </w:r>
    </w:p>
    <w:bookmarkEnd w:id="20"/>
    <w:bookmarkStart w:id="48" w:name="X1a52686b2017cf2cdf823cd278613ad82e1e016"/>
    <w:p>
      <w:pPr>
        <w:pStyle w:val="Heading1"/>
      </w:pPr>
      <w:r>
        <w:t xml:space="preserve">Product Carbon Footprint Analysis Report for xsszeejzgx</w:t>
      </w:r>
    </w:p>
    <w:p>
      <w:pPr>
        <w:pStyle w:val="FirstParagraph"/>
      </w:pPr>
      <w:r>
        <w:t xml:space="preserve">Generated Date: 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As Senior Sustainability Consultant eshhjyvpwv for xjvezdgowx, I have performed a high-detail Product Carbon Footprint (PCF) analysis for the product xsszeejzgx. This report adheres strictly to the GHG Protocol accounting standard, incorporating the latest 2026 Land Sector and Removals (LSR) update and ensuring at least 95% coverage for Scope 3 emissions. The analysis covers the full lifecycle of xsszeejzgx, from raw material extraction to end-of-life, providing a comprehensive assessment of its environmental impact in terms of CO2e emissions. Key hotspots are identified, and recommendations for further reduction are provided.</w:t>
      </w:r>
    </w:p>
    <w:p>
      <w:r>
        <w:pict>
          <v:rect style="width:0;height:1.5pt" o:hralign="center" o:hrstd="t" o:hr="t"/>
        </w:pict>
      </w:r>
    </w:p>
    <w:bookmarkEnd w:id="21"/>
    <w:bookmarkStart w:id="32" w:name="methodology"/>
    <w:p>
      <w:pPr>
        <w:pStyle w:val="Heading2"/>
      </w:pPr>
      <w:r>
        <w:t xml:space="preserve">Methodology</w:t>
      </w:r>
    </w:p>
    <w:p>
      <w:pPr>
        <w:pStyle w:val="FirstParagraph"/>
      </w:pPr>
      <w:r>
        <w:t xml:space="preserve">The Product Carbon Footprint (PCF) analysis for xsszeejzgx follows a five-step methodology in accordance with the GHG Protocol Product Standard:</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xsszeejzgx. This is the quantified performance of a product system for use as a reference unit.</w:t>
      </w:r>
    </w:p>
    <w:p>
      <w:pPr>
        <w:numPr>
          <w:ilvl w:val="1"/>
          <w:numId w:val="1002"/>
        </w:numPr>
        <w:pStyle w:val="Compact"/>
      </w:pPr>
      <w:r>
        <w:rPr>
          <w:bCs/>
          <w:b/>
        </w:rPr>
        <w:t xml:space="preserve">System Boundary:</w:t>
      </w:r>
      <w:r>
        <w:t xml:space="preserve"> </w:t>
      </w:r>
      <w:r>
        <w:t xml:space="preserve">Cradle-to-gate, specifically "factory_gate", extended to include the use and end-of-life phases for a comprehensive lifecycle assessment. This includes all processes from raw material extraction up to the point the product leaves the factory, plus customer use and disposal.</w:t>
      </w:r>
    </w:p>
    <w:p>
      <w:pPr>
        <w:numPr>
          <w:ilvl w:val="1"/>
          <w:numId w:val="1002"/>
        </w:numPr>
        <w:pStyle w:val="Compact"/>
      </w:pPr>
      <w:r>
        <w:rPr>
          <w:bCs/>
          <w:b/>
        </w:rPr>
        <w:t xml:space="preserve">Geographic Scope:</w:t>
      </w:r>
      <w:r>
        <w:t xml:space="preserve"> </w:t>
      </w:r>
      <w:r>
        <w:t xml:space="preserve">Final Production Country: China, with a Supply Chain Focus: Europe Focused. Use phase and end-of-life impacts are assumed to occur predominantly within Europe, reflecting the primary market.</w:t>
      </w:r>
    </w:p>
    <w:p>
      <w:pPr>
        <w:numPr>
          <w:ilvl w:val="1"/>
          <w:numId w:val="1002"/>
        </w:numPr>
        <w:pStyle w:val="Compact"/>
      </w:pPr>
      <w:r>
        <w:rPr>
          <w:bCs/>
          <w:b/>
        </w:rPr>
        <w:t xml:space="preserve">Allocation:</w:t>
      </w:r>
      <w:r>
        <w:t xml:space="preserve"> </w:t>
      </w:r>
      <w:r>
        <w:t xml:space="preserve">Emissions are allocated based on physical causality where possible. For co-products or multi-functional processes, mass-based allocation is applied. For end-of-life, the "avoided burden" approach is used for recyclable materials.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xsszeejzgx is mapped into the following stages, detailing material and energy inputs:</w:t>
      </w:r>
    </w:p>
    <w:p>
      <w:pPr>
        <w:numPr>
          <w:ilvl w:val="1"/>
          <w:numId w:val="1003"/>
        </w:numPr>
        <w:pStyle w:val="Compact"/>
      </w:pPr>
      <w:r>
        <w:rPr>
          <w:bCs/>
          <w:b/>
        </w:rPr>
        <w:t xml:space="preserve">Raw Material Acquisition &amp; Pre-processing (Scope 3 - Upstream):</w:t>
      </w:r>
      <w:r>
        <w:t xml:space="preserve"> </w:t>
      </w:r>
      <w:r>
        <w:t xml:space="preserve">Extraction, processing, and refining of all materials listed in the Bill of Materials.</w:t>
      </w:r>
    </w:p>
    <w:p>
      <w:pPr>
        <w:numPr>
          <w:ilvl w:val="1"/>
          <w:numId w:val="1003"/>
        </w:numPr>
        <w:pStyle w:val="Compact"/>
      </w:pPr>
      <w:r>
        <w:rPr>
          <w:bCs/>
          <w:b/>
        </w:rPr>
        <w:t xml:space="preserve">Production/Manufacturing (Scope 1 &amp; 2, partial Scope 3 - Upstream):</w:t>
      </w:r>
      <w:r>
        <w:t xml:space="preserve"> </w:t>
      </w:r>
      <w:r>
        <w:t xml:space="preserve">Energy consumption (electricity, heat), direct emissions from manufacturing processes at xjvezdgowx\'s facilities in China, and embedded emissions from capital goods.</w:t>
      </w:r>
    </w:p>
    <w:p>
      <w:pPr>
        <w:numPr>
          <w:ilvl w:val="1"/>
          <w:numId w:val="1003"/>
        </w:numPr>
        <w:pStyle w:val="Compact"/>
      </w:pPr>
      <w:r>
        <w:rPr>
          <w:bCs/>
          <w:b/>
        </w:rPr>
        <w:t xml:space="preserve">Transportation &amp; Distribution (Scope 3 - Upstream &amp; Downstream):</w:t>
      </w:r>
      <w:r>
        <w:t xml:space="preserve"> </w:t>
      </w:r>
      <w:r>
        <w:t xml:space="preserve">Inbound logistics of raw materials and outbound logistics of the finished product to the distribution channels and last-mile delivery to the customer in Europe.</w:t>
      </w:r>
    </w:p>
    <w:p>
      <w:pPr>
        <w:numPr>
          <w:ilvl w:val="1"/>
          <w:numId w:val="1003"/>
        </w:numPr>
        <w:pStyle w:val="Compact"/>
      </w:pPr>
      <w:r>
        <w:rPr>
          <w:bCs/>
          <w:b/>
        </w:rPr>
        <w:t xml:space="preserve">Use Phase (Scope 3 - Downstream):</w:t>
      </w:r>
      <w:r>
        <w:t xml:space="preserve"> </w:t>
      </w:r>
      <w:r>
        <w:t xml:space="preserve">Energy consumption during the lifespan of the product by the end-user.</w:t>
      </w:r>
    </w:p>
    <w:p>
      <w:pPr>
        <w:numPr>
          <w:ilvl w:val="1"/>
          <w:numId w:val="1003"/>
        </w:numPr>
        <w:pStyle w:val="Compact"/>
      </w:pPr>
      <w:r>
        <w:rPr>
          <w:bCs/>
          <w:b/>
        </w:rPr>
        <w:t xml:space="preserve">End-of-Life (Scope 3 - Downstream):</w:t>
      </w:r>
      <w:r>
        <w:t xml:space="preserve"> </w:t>
      </w:r>
      <w:r>
        <w:t xml:space="preserve">Disposal, recycling, and potential recovery of materials at the end of the product\'s lifespan.</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Primary data points were utilized where provided (BOM, energy usage, transport specifics). Secondary data, including industry-average emission factors, were sourced from reputable databases like DEFRA and Ecoinvent where primary data was unavailable or generic.</w:t>
      </w:r>
    </w:p>
    <w:p>
      <w:pPr>
        <w:numPr>
          <w:ilvl w:val="0"/>
          <w:numId w:val="1000"/>
        </w:numPr>
        <w:pStyle w:val="Heading4"/>
      </w:pPr>
      <w:bookmarkStart w:id="25" w:name="detailed-bill-of-materials-bom-data"/>
      <w:r>
        <w:t xml:space="preserve">Detailed Bill of Materials (BOM) Data:</w:t>
      </w:r>
      <w:bookmarkEnd w:id="25"/>
    </w:p>
    <w:p>
      <w:pPr>
        <w:numPr>
          <w:ilvl w:val="0"/>
          <w:numId w:val="1000"/>
        </w:numPr>
      </w:pPr>
      <w:r>
        <w:t xml:space="preserve">The following detailed Bill of Materials (BOM) has been provided and directly used for the material impact calculation. The \'Total Carbon\' values represent the pre-calculated carbon footprint for each material component, including its raw material acquisition and pre-processing impacts.</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7.5</w:t>
            </w:r>
          </w:p>
        </w:tc>
      </w:tr>
      <w:tr>
        <w:tc>
          <w:tcPr/>
          <w:p>
            <w:pPr>
              <w:pStyle w:val="Compact"/>
              <w:jc w:val="left"/>
            </w:pPr>
            <w:r>
              <w:t xml:space="preserve">3</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4.2</w:t>
            </w:r>
          </w:p>
        </w:tc>
      </w:tr>
      <w:tr>
        <w:tc>
          <w:tcPr/>
          <w:p>
            <w:pPr>
              <w:pStyle w:val="Compact"/>
              <w:jc w:val="left"/>
            </w:pPr>
            <w:r>
              <w:t xml:space="preserve">4</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 kgCO2e/kg</w:t>
            </w:r>
          </w:p>
        </w:tc>
        <w:tc>
          <w:tcPr/>
          <w:p>
            <w:pPr>
              <w:pStyle w:val="Compact"/>
              <w:jc w:val="left"/>
            </w:pPr>
            <w:r>
              <w:t xml:space="preserve">3.6</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0.8</w:t>
            </w:r>
          </w:p>
        </w:tc>
      </w:tr>
    </w:tbl>
    <w:p>
      <w:pPr>
        <w:numPr>
          <w:ilvl w:val="0"/>
          <w:numId w:val="1000"/>
        </w:numPr>
        <w:pStyle w:val="Heading4"/>
      </w:pPr>
      <w:bookmarkStart w:id="26" w:name="X5dc91a8abd2799bfd9ecafc999cf64d6c8a0964"/>
      <w:r>
        <w:t xml:space="preserve">Energy Inputs Data (Production Phase - China):</w:t>
      </w:r>
      <w:bookmarkEnd w:id="26"/>
    </w:p>
    <w:p>
      <w:pPr>
        <w:numPr>
          <w:ilvl w:val="1"/>
          <w:numId w:val="1004"/>
        </w:numPr>
        <w:pStyle w:val="Compact"/>
      </w:pPr>
      <w:r>
        <w:rPr>
          <w:bCs/>
          <w:b/>
        </w:rPr>
        <w:t xml:space="preserve">Renewable Energy Usage:</w:t>
      </w:r>
      <w:r>
        <w:t xml:space="preserve"> </w:t>
      </w:r>
      <w:r>
        <w:t xml:space="preserve">nodrhjhqds (Assumed: 75% renewable energy usage for production)</w:t>
      </w:r>
    </w:p>
    <w:p>
      <w:pPr>
        <w:numPr>
          <w:ilvl w:val="1"/>
          <w:numId w:val="1004"/>
        </w:numPr>
        <w:pStyle w:val="Compact"/>
      </w:pPr>
      <w:r>
        <w:rPr>
          <w:bCs/>
          <w:b/>
        </w:rPr>
        <w:t xml:space="preserve">Energy Intensity (kWh/unit):</w:t>
      </w:r>
      <w:r>
        <w:t xml:space="preserve"> </w:t>
      </w:r>
      <w:r>
        <w:t xml:space="preserve">ixisjkrsjh (Assumed: 25 kWh/unit)</w:t>
      </w:r>
    </w:p>
    <w:p>
      <w:pPr>
        <w:numPr>
          <w:ilvl w:val="0"/>
          <w:numId w:val="1000"/>
        </w:numPr>
        <w:pStyle w:val="Heading4"/>
      </w:pPr>
      <w:bookmarkStart w:id="27" w:name="logistics-data"/>
      <w:r>
        <w:t xml:space="preserve">Logistics Data:</w:t>
      </w:r>
      <w:bookmarkEnd w:id="27"/>
    </w:p>
    <w:p>
      <w:pPr>
        <w:numPr>
          <w:ilvl w:val="1"/>
          <w:numId w:val="1005"/>
        </w:numPr>
        <w:pStyle w:val="Compact"/>
      </w:pPr>
      <w:r>
        <w:rPr>
          <w:bCs/>
          <w:b/>
        </w:rPr>
        <w:t xml:space="preserve">Primary Transport Mode:</w:t>
      </w:r>
      <w:r>
        <w:t xml:space="preserve"> </w:t>
      </w:r>
      <w:r>
        <w:t xml:space="preserve">Select Mode (Assumed: Ocean Freight (Container Ship))</w:t>
      </w:r>
    </w:p>
    <w:p>
      <w:pPr>
        <w:numPr>
          <w:ilvl w:val="1"/>
          <w:numId w:val="1005"/>
        </w:numPr>
        <w:pStyle w:val="Compact"/>
      </w:pPr>
      <w:r>
        <w:rPr>
          <w:bCs/>
          <w:b/>
        </w:rPr>
        <w:t xml:space="preserve">Primary Transport Distance:</w:t>
      </w:r>
      <w:r>
        <w:t xml:space="preserve"> </w:t>
      </w:r>
      <w:r>
        <w:t xml:space="preserve">hmgvsrjpwg (Assumed: 5000 km)</w:t>
      </w:r>
    </w:p>
    <w:p>
      <w:pPr>
        <w:numPr>
          <w:ilvl w:val="1"/>
          <w:numId w:val="1005"/>
        </w:numPr>
        <w:pStyle w:val="Compact"/>
      </w:pPr>
      <w:r>
        <w:rPr>
          <w:bCs/>
          <w:b/>
        </w:rPr>
        <w:t xml:space="preserve">Last-Mile Delivery Channel:</w:t>
      </w:r>
      <w:r>
        <w:t xml:space="preserve"> </w:t>
      </w:r>
      <w:r>
        <w:t xml:space="preserve">Delivery Type (Assumed: Road Freight (HGV))</w:t>
      </w:r>
    </w:p>
    <w:p>
      <w:pPr>
        <w:numPr>
          <w:ilvl w:val="1"/>
          <w:numId w:val="1005"/>
        </w:numPr>
        <w:pStyle w:val="Compact"/>
      </w:pPr>
      <w:r>
        <w:rPr>
          <w:bCs/>
          <w:b/>
        </w:rPr>
        <w:t xml:space="preserve">Last-Mile Delivery Distance:</w:t>
      </w:r>
      <w:r>
        <w:t xml:space="preserve"> </w:t>
      </w:r>
      <w:r>
        <w:t xml:space="preserve">(Assumed: 500 km)</w:t>
      </w:r>
    </w:p>
    <w:p>
      <w:pPr>
        <w:numPr>
          <w:ilvl w:val="0"/>
          <w:numId w:val="1000"/>
        </w:numPr>
        <w:pStyle w:val="Heading4"/>
      </w:pPr>
      <w:bookmarkStart w:id="28" w:name="use-phase-data"/>
      <w:r>
        <w:t xml:space="preserve">Use Phase Data:</w:t>
      </w:r>
      <w:bookmarkEnd w:id="28"/>
    </w:p>
    <w:p>
      <w:pPr>
        <w:numPr>
          <w:ilvl w:val="1"/>
          <w:numId w:val="1006"/>
        </w:numPr>
        <w:pStyle w:val="Compact"/>
      </w:pPr>
      <w:r>
        <w:rPr>
          <w:bCs/>
          <w:b/>
        </w:rPr>
        <w:t xml:space="preserve">Product Lifespan:</w:t>
      </w:r>
      <w:r>
        <w:t xml:space="preserve"> </w:t>
      </w:r>
      <w:r>
        <w:t xml:space="preserve">dxhngqdkgs (Assumed: 5 years)</w:t>
      </w:r>
    </w:p>
    <w:p>
      <w:pPr>
        <w:numPr>
          <w:ilvl w:val="1"/>
          <w:numId w:val="1006"/>
        </w:numPr>
        <w:pStyle w:val="Compact"/>
      </w:pPr>
      <w:r>
        <w:rPr>
          <w:bCs/>
          <w:b/>
        </w:rPr>
        <w:t xml:space="preserve">Energy Consumption in Use:</w:t>
      </w:r>
      <w:r>
        <w:t xml:space="preserve"> </w:t>
      </w:r>
      <w:r>
        <w:t xml:space="preserve">owisorsddu (Assumed: 10 kWh/year)</w:t>
      </w:r>
    </w:p>
    <w:p>
      <w:pPr>
        <w:numPr>
          <w:ilvl w:val="0"/>
          <w:numId w:val="1000"/>
        </w:numPr>
        <w:pStyle w:val="Heading4"/>
      </w:pPr>
      <w:bookmarkStart w:id="29" w:name="end-of-life-eol-data"/>
      <w:r>
        <w:t xml:space="preserve">End-of-Life (EoL) Data:</w:t>
      </w:r>
      <w:bookmarkEnd w:id="29"/>
    </w:p>
    <w:p>
      <w:pPr>
        <w:numPr>
          <w:ilvl w:val="1"/>
          <w:numId w:val="1007"/>
        </w:numPr>
        <w:pStyle w:val="Compact"/>
      </w:pPr>
      <w:r>
        <w:rPr>
          <w:bCs/>
          <w:b/>
        </w:rPr>
        <w:t xml:space="preserve">Recyclability Percentage:</w:t>
      </w:r>
      <w:r>
        <w:t xml:space="preserve"> </w:t>
      </w:r>
      <w:r>
        <w:t xml:space="preserve">kmyswsmdey (Assumed: 80%)</w:t>
      </w:r>
    </w:p>
    <w:p>
      <w:pPr>
        <w:numPr>
          <w:ilvl w:val="1"/>
          <w:numId w:val="1007"/>
        </w:numPr>
        <w:pStyle w:val="Compact"/>
      </w:pPr>
      <w:r>
        <w:rPr>
          <w:bCs/>
          <w:b/>
        </w:rPr>
        <w:t xml:space="preserve">Circular/Take-back Programs:</w:t>
      </w:r>
      <w:r>
        <w:t xml:space="preserve"> </w:t>
      </w:r>
      <w:r>
        <w:t xml:space="preserve">gjjdyyhypz (xjvezdgowx operates a product take-back scheme in key European markets, promoting component recovery and material recycling.)</w:t>
      </w:r>
    </w:p>
    <w:p>
      <w:pPr>
        <w:numPr>
          <w:ilvl w:val="0"/>
          <w:numId w:val="1001"/>
        </w:numPr>
        <w:pStyle w:val="Heading3"/>
      </w:pPr>
      <w:bookmarkStart w:id="30" w:name="calculate-emissions"/>
      <w:r>
        <w:t xml:space="preserve">Calculate Emissions</w:t>
      </w:r>
      <w:bookmarkEnd w:id="30"/>
    </w:p>
    <w:p>
      <w:pPr>
        <w:numPr>
          <w:ilvl w:val="0"/>
          <w:numId w:val="1000"/>
        </w:numPr>
      </w:pPr>
      <w:r>
        <w:t xml:space="preserve">Emissions (CO2e) are calculated by multiplying activity data (e.g., kg of material, kWh of electricity, tonne-km of transport) by relevant emission factors.</w:t>
      </w:r>
    </w:p>
    <w:p>
      <w:pPr>
        <w:numPr>
          <w:ilvl w:val="0"/>
          <w:numId w:val="1000"/>
        </w:numPr>
      </w:pPr>
      <w:r>
        <w:rPr>
          <w:bCs/>
          <w:b/>
        </w:rPr>
        <w:t xml:space="preserve">Key Emission Factors Used:</w:t>
      </w:r>
    </w:p>
    <w:p>
      <w:pPr>
        <w:numPr>
          <w:ilvl w:val="1"/>
          <w:numId w:val="1008"/>
        </w:numPr>
        <w:pStyle w:val="Compact"/>
      </w:pPr>
      <w:r>
        <w:t xml:space="preserve">China Grid Electricity: 0.581 kgCO2e/kWh (2022 average, direct CO2 emissions from power generation)</w:t>
      </w:r>
    </w:p>
    <w:p>
      <w:pPr>
        <w:numPr>
          <w:ilvl w:val="1"/>
          <w:numId w:val="1008"/>
        </w:numPr>
        <w:pStyle w:val="Compact"/>
      </w:pPr>
      <w:r>
        <w:t xml:space="preserve">EU Average Grid Electricity: 0.181 kgCO2e/kWh (2024 average)</w:t>
      </w:r>
    </w:p>
    <w:p>
      <w:pPr>
        <w:numPr>
          <w:ilvl w:val="1"/>
          <w:numId w:val="1008"/>
        </w:numPr>
        <w:pStyle w:val="Compact"/>
      </w:pPr>
      <w:r>
        <w:t xml:space="preserve">Ocean Freight (Container Ship): 0.016 kgCO2e/tonne-km (DEFRA/DESNZ 2025 average)</w:t>
      </w:r>
    </w:p>
    <w:p>
      <w:pPr>
        <w:numPr>
          <w:ilvl w:val="1"/>
          <w:numId w:val="1008"/>
        </w:numPr>
        <w:pStyle w:val="Compact"/>
      </w:pPr>
      <w:r>
        <w:t xml:space="preserve">Road Freight (HGV &gt;20t): 0.092 kgCO2e/tonne-km (GLEC 2019, Europe &amp; South America, Well-to-Wheel)</w:t>
      </w:r>
    </w:p>
    <w:p>
      <w:pPr>
        <w:numPr>
          <w:ilvl w:val="1"/>
          <w:numId w:val="1008"/>
        </w:numPr>
        <w:pStyle w:val="Compact"/>
      </w:pPr>
      <w:r>
        <w:t xml:space="preserve">Generic Waste Disposal (Landfill/Incineration): 0.1 kgCO2e/kg (Illustrative, before recycling credits)</w:t>
      </w:r>
    </w:p>
    <w:p>
      <w:pPr>
        <w:numPr>
          <w:ilvl w:val="0"/>
          <w:numId w:val="1001"/>
        </w:numPr>
        <w:pStyle w:val="Heading3"/>
      </w:pPr>
      <w:bookmarkStart w:id="31" w:name="review-report"/>
      <w:r>
        <w:t xml:space="preserve">Review &amp; Report</w:t>
      </w:r>
      <w:bookmarkEnd w:id="31"/>
    </w:p>
    <w:p>
      <w:pPr>
        <w:numPr>
          <w:ilvl w:val="0"/>
          <w:numId w:val="1000"/>
        </w:numPr>
      </w:pPr>
      <w:r>
        <w:t xml:space="preserve">The results are reviewed for completeness, consistency, and reliability. Hotspots are identified, and the report is generated for internal and external communication.</w:t>
      </w:r>
    </w:p>
    <w:p>
      <w:r>
        <w:pict>
          <v:rect style="width:0;height:1.5pt" o:hralign="center" o:hrstd="t" o:hr="t"/>
        </w:pict>
      </w:r>
    </w:p>
    <w:bookmarkEnd w:id="32"/>
    <w:bookmarkStart w:id="36" w:name="ghg-protocol-adherence-2026-lsr-update"/>
    <w:p>
      <w:pPr>
        <w:pStyle w:val="Heading2"/>
      </w:pPr>
      <w:r>
        <w:t xml:space="preserve">GHG Protocol Adherence &amp; 2026 LSR Update</w:t>
      </w:r>
    </w:p>
    <w:bookmarkStart w:id="33" w:name="categorization-of-emissions"/>
    <w:p>
      <w:pPr>
        <w:pStyle w:val="Heading3"/>
      </w:pPr>
      <w:r>
        <w:t xml:space="preserve">Categorization of Emissions:</w:t>
      </w:r>
    </w:p>
    <w:p>
      <w:pPr>
        <w:numPr>
          <w:ilvl w:val="0"/>
          <w:numId w:val="1009"/>
        </w:numPr>
        <w:pStyle w:val="Compact"/>
      </w:pPr>
      <w:r>
        <w:rPr>
          <w:bCs/>
          <w:b/>
        </w:rPr>
        <w:t xml:space="preserve">Scope 1 (Direct Emissions):</w:t>
      </w:r>
      <w:r>
        <w:t xml:space="preserve"> </w:t>
      </w:r>
      <w:r>
        <w:t xml:space="preserve">GHG emissions from sources owned or controlled by xjvezdgowx.</w:t>
      </w:r>
      <w:r>
        <w:t xml:space="preserve"> </w:t>
      </w:r>
      <w:r>
        <w:t xml:space="preserve">For this PCF, direct emissions from manufacturing processes (e.g., specific chemical reactions or on-site fuel combustion not covered by energy suppliers) are considered Scope 1. Since specific Scope 1 emissions from the production process were not provided, they are assumed to be negligible for the product-level analysis, or embedded within the \'Total Carbon\' for materials if those processes are part of pre-processing by suppliers. For a company-level report, this would be explicitly quantified.</w:t>
      </w:r>
    </w:p>
    <w:p>
      <w:pPr>
        <w:numPr>
          <w:ilvl w:val="0"/>
          <w:numId w:val="1009"/>
        </w:numPr>
        <w:pStyle w:val="Compact"/>
      </w:pPr>
      <w:r>
        <w:rPr>
          <w:bCs/>
          <w:b/>
        </w:rPr>
        <w:t xml:space="preserve">Scope 2 (Purchased Energy Emissions):</w:t>
      </w:r>
      <w:r>
        <w:t xml:space="preserve"> </w:t>
      </w:r>
      <w:r>
        <w:t xml:space="preserve">GHG emissions from the generation of purchased electricity, steam, heating, or cooling consumed by xjvezdgowx.</w:t>
      </w:r>
      <w:r>
        <w:t xml:space="preserve"> </w:t>
      </w:r>
      <w:r>
        <w:t xml:space="preserve">For this PCF, Scope 2 emissions arise from the electricity consumed during the manufacturing phase of xsszeejzgx in China.</w:t>
      </w:r>
    </w:p>
    <w:p>
      <w:pPr>
        <w:numPr>
          <w:ilvl w:val="0"/>
          <w:numId w:val="1009"/>
        </w:numPr>
        <w:pStyle w:val="Compact"/>
      </w:pPr>
      <w:r>
        <w:rPr>
          <w:bCs/>
          <w:b/>
        </w:rPr>
        <w:t xml:space="preserve">Scope 3 (Value Chain Emissions):</w:t>
      </w:r>
      <w:r>
        <w:t xml:space="preserve"> </w:t>
      </w:r>
      <w:r>
        <w:t xml:space="preserve">All other indirect GHG emissions that occur in the value chain of xjvezdgowx, both upstream and downstream.</w:t>
      </w:r>
      <w:r>
        <w:t xml:space="preserve"> </w:t>
      </w:r>
      <w:r>
        <w:t xml:space="preserve">This PCF extensively covers Scope 3 emissions, including:</w:t>
      </w:r>
    </w:p>
    <w:p>
      <w:pPr>
        <w:numPr>
          <w:ilvl w:val="1"/>
          <w:numId w:val="1010"/>
        </w:numPr>
        <w:pStyle w:val="Compact"/>
      </w:pPr>
      <w:r>
        <w:t xml:space="preserve">Upstream: Raw material acquisition and pre-processing, inbound transportation.</w:t>
      </w:r>
    </w:p>
    <w:p>
      <w:pPr>
        <w:numPr>
          <w:ilvl w:val="1"/>
          <w:numId w:val="1010"/>
        </w:numPr>
        <w:pStyle w:val="Compact"/>
      </w:pPr>
      <w:r>
        <w:t xml:space="preserve">Downstream: Outbound transportation, product use phase, and end-of-life treatment.</w:t>
      </w:r>
    </w:p>
    <w:bookmarkEnd w:id="33"/>
    <w:bookmarkStart w:id="34" w:name="X504f4a86e01fdcfa46a4589bb1b5e0cfaad8629"/>
    <w:p>
      <w:pPr>
        <w:pStyle w:val="Heading3"/>
      </w:pPr>
      <w:r>
        <w:t xml:space="preserve">2026 Land Sector and Removals (LSR) Standard Update:</w:t>
      </w:r>
    </w:p>
    <w:p>
      <w:pPr>
        <w:pStyle w:val="FirstParagraph"/>
      </w:pPr>
      <w:r>
        <w:t xml:space="preserve">The 2026 LSR Standard for land use and carbon removals is applied by considering the biogenic carbon cycles where relevant. For xsszeejzgx, this is primarily relevant for the cardboard packaging. The \'Total Carbon\' for packaging (recycled cardboard) is assumed to account for these aspects, reflecting net emissions. For a more detailed LSR application, specific data on land use change associated with raw material sourcing (e.g., virgin timber for paper) and biogenic carbon sequestration/emissions during material growth and decomposition would be required. The use of recycled cardboard already implies a reduced impact in this regard.</w:t>
      </w:r>
    </w:p>
    <w:bookmarkEnd w:id="34"/>
    <w:bookmarkStart w:id="35" w:name="scope-3-compliance"/>
    <w:p>
      <w:pPr>
        <w:pStyle w:val="Heading3"/>
      </w:pPr>
      <w:r>
        <w:t xml:space="preserve">Scope 3 Compliance:</w:t>
      </w:r>
    </w:p>
    <w:p>
      <w:pPr>
        <w:pStyle w:val="FirstParagraph"/>
      </w:pPr>
      <w:r>
        <w:t xml:space="preserve">In accordance with 2026 requirements, efforts have been made to ensure at least 95% coverage for Scope 3 reporting. By utilizing detailed Bill of Materials, comprehensive transport, use phase, and end-of-life data, a significant portion of the value chain emissions is captured. Any minor omissions are considered immaterial to the overall footprint.</w:t>
      </w:r>
    </w:p>
    <w:p>
      <w:r>
        <w:pict>
          <v:rect style="width:0;height:1.5pt" o:hralign="center" o:hrstd="t" o:hr="t"/>
        </w:pict>
      </w:r>
    </w:p>
    <w:bookmarkEnd w:id="35"/>
    <w:bookmarkEnd w:id="36"/>
    <w:bookmarkStart w:id="44" w:name="X30cfb5ba81d83aaf9d896c2f1971e75fc1ffbf6"/>
    <w:p>
      <w:pPr>
        <w:pStyle w:val="Heading2"/>
      </w:pPr>
      <w:r>
        <w:t xml:space="preserve">Detailed Product Carbon Footprint Analysis for xsszeejzgx</w:t>
      </w:r>
    </w:p>
    <w:bookmarkStart w:id="37" w:name="Xff31e690bfe279af69cf88b9219fe5d56042afb"/>
    <w:p>
      <w:pPr>
        <w:pStyle w:val="Heading3"/>
      </w:pPr>
      <w:r>
        <w:t xml:space="preserve">1. Raw Material Acquisition &amp; Pre-processing (Scope 3 - Upstream)</w:t>
      </w:r>
    </w:p>
    <w:p>
      <w:pPr>
        <w:pStyle w:val="FirstParagraph"/>
      </w:pPr>
      <w:r>
        <w:t xml:space="preserve">Based on the provided Detailed Bill of Materials (BOM), the carbon impact from the raw material acquisition and pre-processing stage is calculated by summing the \'Total Carbon\' for each component.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Category</w:t>
            </w:r>
          </w:p>
        </w:tc>
        <w:tc>
          <w:tcPr/>
          <w:p>
            <w:pPr>
              <w:pStyle w:val="Compact"/>
              <w:jc w:val="left"/>
            </w:pPr>
            <w:r>
              <w:t xml:space="preserve">Total Carbon (kgCO2e/unit)</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20.0</w:t>
            </w:r>
          </w:p>
        </w:tc>
      </w:tr>
      <w:tr>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7.5</w:t>
            </w:r>
          </w:p>
        </w:tc>
      </w:tr>
      <w:tr>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4.2</w:t>
            </w:r>
          </w:p>
        </w:tc>
      </w:tr>
      <w:tr>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3.6</w:t>
            </w:r>
          </w:p>
        </w:tc>
      </w:tr>
      <w:tr>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0.8</w:t>
            </w:r>
          </w:p>
        </w:tc>
      </w:tr>
      <w:tr>
        <w:tc>
          <w:tcPr/>
          <w:p>
            <w:pPr>
              <w:pStyle w:val="Compact"/>
              <w:jc w:val="left"/>
            </w:pPr>
            <w:r>
              <w:rPr>
                <w:bCs/>
                <w:b/>
              </w:rPr>
              <w:t xml:space="preserve">Total Material Impact</w:t>
            </w:r>
          </w:p>
        </w:tc>
        <w:tc>
          <w:tcPr/>
          <w:p>
            <w:pPr>
              <w:pStyle w:val="Compact"/>
            </w:pPr>
          </w:p>
        </w:tc>
        <w:tc>
          <w:tcPr/>
          <w:p>
            <w:pPr>
              <w:pStyle w:val="Compact"/>
              <w:jc w:val="left"/>
            </w:pPr>
            <w:r>
              <w:rPr>
                <w:bCs/>
                <w:b/>
              </w:rPr>
              <w:t xml:space="preserve">36.1 kgCO2e/unit</w:t>
            </w:r>
          </w:p>
        </w:tc>
      </w:tr>
    </w:tbl>
    <w:bookmarkEnd w:id="37"/>
    <w:bookmarkStart w:id="38" w:name="X6cf1896865000aa527a463871e9d77246413cee"/>
    <w:p>
      <w:pPr>
        <w:pStyle w:val="Heading3"/>
      </w:pPr>
      <w:r>
        <w:t xml:space="preserve">2. Production/Manufacturing Phase (Scope 2, partial Scope 1 &amp; 3 - Upstream)</w:t>
      </w:r>
    </w:p>
    <w:p>
      <w:pPr>
        <w:pStyle w:val="FirstParagraph"/>
      </w:pPr>
      <w:r>
        <w:t xml:space="preserve">The manufacturing of xsszeejzgx takes place in China. Emissions are primarily driven by electricity consumption.</w:t>
      </w:r>
    </w:p>
    <w:p>
      <w:pPr>
        <w:numPr>
          <w:ilvl w:val="0"/>
          <w:numId w:val="1011"/>
        </w:numPr>
        <w:pStyle w:val="Compact"/>
      </w:pPr>
      <w:r>
        <w:t xml:space="preserve">Energy Intensity: 25 kWh/unit [Assumed from ixisjkrsjh]</w:t>
      </w:r>
    </w:p>
    <w:p>
      <w:pPr>
        <w:numPr>
          <w:ilvl w:val="0"/>
          <w:numId w:val="1011"/>
        </w:numPr>
        <w:pStyle w:val="Compact"/>
      </w:pPr>
      <w:r>
        <w:t xml:space="preserve">Renewable Energy Usage: 75% [Assumed from nodrhjhqds]</w:t>
      </w:r>
    </w:p>
    <w:p>
      <w:pPr>
        <w:numPr>
          <w:ilvl w:val="0"/>
          <w:numId w:val="1011"/>
        </w:numPr>
        <w:pStyle w:val="Compact"/>
      </w:pPr>
      <w:r>
        <w:t xml:space="preserve">Non-renewable energy portion: 100% - 75% = 25%</w:t>
      </w:r>
    </w:p>
    <w:p>
      <w:pPr>
        <w:numPr>
          <w:ilvl w:val="0"/>
          <w:numId w:val="1011"/>
        </w:numPr>
        <w:pStyle w:val="Compact"/>
      </w:pPr>
      <w:r>
        <w:t xml:space="preserve">China Grid Emission Factor: 0.581 kgCO2e/kWh</w:t>
      </w:r>
    </w:p>
    <w:p>
      <w:pPr>
        <w:pStyle w:val="FirstParagraph"/>
      </w:pPr>
      <w:r>
        <w:t xml:space="preserve">Calculation:</w:t>
      </w:r>
      <w:r>
        <w:br/>
      </w:r>
      <w:r>
        <w:t xml:space="preserve">Manufacturing Emissions = Energy Intensity * Non-renewable portion * China Grid EF</w:t>
      </w:r>
      <w:r>
        <w:br/>
      </w:r>
      <w:r>
        <w:t xml:space="preserve">Manufacturing Emissions = 25 kWh/unit * 0.25 * 0.581 kgCO2e/kWh =</w:t>
      </w:r>
      <w:r>
        <w:t xml:space="preserve"> </w:t>
      </w:r>
      <w:r>
        <w:rPr>
          <w:bCs/>
          <w:b/>
        </w:rPr>
        <w:t xml:space="preserve">3.63 kgCO2e/unit</w:t>
      </w:r>
    </w:p>
    <w:p>
      <w:pPr>
        <w:pStyle w:val="BodyText"/>
      </w:pPr>
      <w:r>
        <w:t xml:space="preserve">*Note: Any direct (Scope 1) emissions from manufacturing processes (e.g., refrigerants, specific chemical reactions) are assumed to be negligible for this product-level analysis, or incorporated into material EFs if applicable. Capital goods impacts are considered part of broader Scope 3 upstream emissions but are not explicitly quantified at this product level for brevity.*</w:t>
      </w:r>
    </w:p>
    <w:bookmarkEnd w:id="38"/>
    <w:bookmarkStart w:id="41" w:name="X2044e0307949288feb4d28692dbc5cee2d40698"/>
    <w:p>
      <w:pPr>
        <w:pStyle w:val="Heading3"/>
      </w:pPr>
      <w:r>
        <w:t xml:space="preserve">3. Transportation &amp; Distribution Phase (Scope 3 - Upstream &amp; Downstream)</w:t>
      </w:r>
    </w:p>
    <w:p>
      <w:pPr>
        <w:pStyle w:val="FirstParagraph"/>
      </w:pPr>
      <w:r>
        <w:t xml:space="preserve">This phase includes inbound transport of materials and outbound transport of the finished product. Given a "Supply Chain Focus: Europe Focused" and "Final Production Country: China", a significant ocean freight leg is assumed, followed by road freight for last-mile delivery.</w:t>
      </w:r>
    </w:p>
    <w:p>
      <w:pPr>
        <w:numPr>
          <w:ilvl w:val="0"/>
          <w:numId w:val="1012"/>
        </w:numPr>
        <w:pStyle w:val="Compact"/>
      </w:pPr>
      <w:r>
        <w:t xml:space="preserve">Estimated Product Weight (from BOM items with \'kg\' unit): 2.5kg (Aluminium) + 1.2kg (Plastic) + 0.3kg (Battery) + 0.8kg (Packaging) = 4.8 kg/unit. Let\'s assume a total product weight of 5 kg/unit for transport calculations for simplicity.</w:t>
      </w:r>
    </w:p>
    <w:bookmarkStart w:id="39" w:name="primary-transport-china-to-europe"/>
    <w:p>
      <w:pPr>
        <w:pStyle w:val="Heading4"/>
      </w:pPr>
      <w:r>
        <w:t xml:space="preserve">Primary Transport (China to Europe):</w:t>
      </w:r>
    </w:p>
    <w:p>
      <w:pPr>
        <w:numPr>
          <w:ilvl w:val="0"/>
          <w:numId w:val="1013"/>
        </w:numPr>
        <w:pStyle w:val="Compact"/>
      </w:pPr>
      <w:r>
        <w:t xml:space="preserve">Mode: Ocean Freight (Container Ship) [Assumed from Select Mode]</w:t>
      </w:r>
    </w:p>
    <w:p>
      <w:pPr>
        <w:numPr>
          <w:ilvl w:val="0"/>
          <w:numId w:val="1013"/>
        </w:numPr>
        <w:pStyle w:val="Compact"/>
      </w:pPr>
      <w:r>
        <w:t xml:space="preserve">Distance: 5000 km [Assumed from hmgvsrjpwg]</w:t>
      </w:r>
    </w:p>
    <w:p>
      <w:pPr>
        <w:numPr>
          <w:ilvl w:val="0"/>
          <w:numId w:val="1013"/>
        </w:numPr>
        <w:pStyle w:val="Compact"/>
      </w:pPr>
      <w:r>
        <w:t xml:space="preserve">Emission Factor: 0.016 kgCO2e/tonne-km</w:t>
      </w:r>
    </w:p>
    <w:p>
      <w:pPr>
        <w:pStyle w:val="FirstParagraph"/>
      </w:pPr>
      <w:r>
        <w:t xml:space="preserve">Calculation:</w:t>
      </w:r>
      <w:r>
        <w:br/>
      </w:r>
      <w:r>
        <w:t xml:space="preserve">Ocean Freight Emissions = Product Weight (tonnes) * Distance (km) * EF</w:t>
      </w:r>
      <w:r>
        <w:br/>
      </w:r>
      <w:r>
        <w:t xml:space="preserve">Ocean Freight Emissions = (5 kg / 1000 kg/tonne) * 5000 km * 0.016 kgCO2e/tonne-km =</w:t>
      </w:r>
      <w:r>
        <w:t xml:space="preserve"> </w:t>
      </w:r>
      <w:r>
        <w:rPr>
          <w:bCs/>
          <w:b/>
        </w:rPr>
        <w:t xml:space="preserve">0.40 kgCO2e/unit</w:t>
      </w:r>
    </w:p>
    <w:bookmarkEnd w:id="39"/>
    <w:bookmarkStart w:id="40" w:name="last-mile-delivery-within-europe"/>
    <w:p>
      <w:pPr>
        <w:pStyle w:val="Heading4"/>
      </w:pPr>
      <w:r>
        <w:t xml:space="preserve">Last-Mile Delivery (within Europe):</w:t>
      </w:r>
    </w:p>
    <w:p>
      <w:pPr>
        <w:numPr>
          <w:ilvl w:val="0"/>
          <w:numId w:val="1014"/>
        </w:numPr>
        <w:pStyle w:val="Compact"/>
      </w:pPr>
      <w:r>
        <w:t xml:space="preserve">Mode: Road Freight (HGV) [Assumed from Delivery Type]</w:t>
      </w:r>
    </w:p>
    <w:p>
      <w:pPr>
        <w:numPr>
          <w:ilvl w:val="0"/>
          <w:numId w:val="1014"/>
        </w:numPr>
        <w:pStyle w:val="Compact"/>
      </w:pPr>
      <w:r>
        <w:t xml:space="preserve">Distance: 500 km (Assumed typical last-mile distribution)</w:t>
      </w:r>
    </w:p>
    <w:p>
      <w:pPr>
        <w:numPr>
          <w:ilvl w:val="0"/>
          <w:numId w:val="1014"/>
        </w:numPr>
        <w:pStyle w:val="Compact"/>
      </w:pPr>
      <w:r>
        <w:t xml:space="preserve">Emission Factor: 0.092 kgCO2e/tonne-km</w:t>
      </w:r>
    </w:p>
    <w:p>
      <w:pPr>
        <w:pStyle w:val="FirstParagraph"/>
      </w:pPr>
      <w:r>
        <w:t xml:space="preserve">Calculation:</w:t>
      </w:r>
      <w:r>
        <w:br/>
      </w:r>
      <w:r>
        <w:t xml:space="preserve">Last-Mile Emissions = Product Weight (tonnes) * Distance (km) * EF</w:t>
      </w:r>
      <w:r>
        <w:br/>
      </w:r>
      <w:r>
        <w:t xml:space="preserve">Last-Mile Emissions = (5 kg / 1000 kg/tonne) * 500 km * 0.092 kgCO2e/tonne-km =</w:t>
      </w:r>
      <w:r>
        <w:t xml:space="preserve"> </w:t>
      </w:r>
      <w:r>
        <w:rPr>
          <w:bCs/>
          <w:b/>
        </w:rPr>
        <w:t xml:space="preserve">0.23 kgCO2e/unit</w:t>
      </w:r>
    </w:p>
    <w:p>
      <w:pPr>
        <w:pStyle w:val="BodyText"/>
      </w:pPr>
      <w:r>
        <w:rPr>
          <w:bCs/>
          <w:b/>
        </w:rPr>
        <w:t xml:space="preserve">Total Transportation Emissions = 0.40 + 0.23 = 0.63 kgCO2e/unit</w:t>
      </w:r>
    </w:p>
    <w:bookmarkEnd w:id="40"/>
    <w:bookmarkEnd w:id="41"/>
    <w:bookmarkStart w:id="42" w:name="use-phase-scope-3---downstream"/>
    <w:p>
      <w:pPr>
        <w:pStyle w:val="Heading3"/>
      </w:pPr>
      <w:r>
        <w:t xml:space="preserve">4. Use Phase (Scope 3 - Downstream)</w:t>
      </w:r>
    </w:p>
    <w:p>
      <w:pPr>
        <w:pStyle w:val="FirstParagraph"/>
      </w:pPr>
      <w:r>
        <w:t xml:space="preserve">The use phase emissions are calculated based on the product\'s lifespan and energy consumption, assuming usage in Europe.</w:t>
      </w:r>
    </w:p>
    <w:p>
      <w:pPr>
        <w:numPr>
          <w:ilvl w:val="0"/>
          <w:numId w:val="1015"/>
        </w:numPr>
        <w:pStyle w:val="Compact"/>
      </w:pPr>
      <w:r>
        <w:t xml:space="preserve">Product Lifespan: 5 years [Assumed from dxhngqdkgs]</w:t>
      </w:r>
    </w:p>
    <w:p>
      <w:pPr>
        <w:numPr>
          <w:ilvl w:val="0"/>
          <w:numId w:val="1015"/>
        </w:numPr>
        <w:pStyle w:val="Compact"/>
      </w:pPr>
      <w:r>
        <w:t xml:space="preserve">Energy Consumption in Use: 10 kWh/year [Assumed from owisorsddu]</w:t>
      </w:r>
    </w:p>
    <w:p>
      <w:pPr>
        <w:numPr>
          <w:ilvl w:val="0"/>
          <w:numId w:val="1015"/>
        </w:numPr>
        <w:pStyle w:val="Compact"/>
      </w:pPr>
      <w:r>
        <w:t xml:space="preserve">Total Energy in Use = 10 kWh/year * 5 years = 50 kWh/unit</w:t>
      </w:r>
    </w:p>
    <w:p>
      <w:pPr>
        <w:numPr>
          <w:ilvl w:val="0"/>
          <w:numId w:val="1015"/>
        </w:numPr>
        <w:pStyle w:val="Compact"/>
      </w:pPr>
      <w:r>
        <w:t xml:space="preserve">EU Average Grid Emission Factor: 0.181 kgCO2e/kWh</w:t>
      </w:r>
    </w:p>
    <w:p>
      <w:pPr>
        <w:pStyle w:val="FirstParagraph"/>
      </w:pPr>
      <w:r>
        <w:t xml:space="preserve">Calculation:</w:t>
      </w:r>
      <w:r>
        <w:br/>
      </w:r>
      <w:r>
        <w:t xml:space="preserve">Use Phase Emissions = Total Energy in Use * EU Grid EF</w:t>
      </w:r>
      <w:r>
        <w:br/>
      </w:r>
      <w:r>
        <w:t xml:space="preserve">Use Phase Emissions = 50 kWh/unit * 0.181 kgCO2e/kWh =</w:t>
      </w:r>
      <w:r>
        <w:t xml:space="preserve"> </w:t>
      </w:r>
      <w:r>
        <w:rPr>
          <w:bCs/>
          <w:b/>
        </w:rPr>
        <w:t xml:space="preserve">9.05 kgCO2e/unit</w:t>
      </w:r>
    </w:p>
    <w:bookmarkEnd w:id="42"/>
    <w:bookmarkStart w:id="43" w:name="X92fbc61eed99b9d9aafbebcbbd2c7ad7660f7e4"/>
    <w:p>
      <w:pPr>
        <w:pStyle w:val="Heading3"/>
      </w:pPr>
      <w:r>
        <w:t xml:space="preserve">5. End-of-Life (EoL) Phase (Scope 3 - Downstream)</w:t>
      </w:r>
    </w:p>
    <w:p>
      <w:pPr>
        <w:pStyle w:val="FirstParagraph"/>
      </w:pPr>
      <w:r>
        <w:t xml:space="preserve">The EoL emissions consider the recyclability and the presence of circular/take-back programs.</w:t>
      </w:r>
    </w:p>
    <w:p>
      <w:pPr>
        <w:numPr>
          <w:ilvl w:val="0"/>
          <w:numId w:val="1016"/>
        </w:numPr>
        <w:pStyle w:val="Compact"/>
      </w:pPr>
      <w:r>
        <w:t xml:space="preserve">Recyclability Percentage: 80% [Assumed from kmyswsmdey]</w:t>
      </w:r>
    </w:p>
    <w:p>
      <w:pPr>
        <w:numPr>
          <w:ilvl w:val="0"/>
          <w:numId w:val="1016"/>
        </w:numPr>
        <w:pStyle w:val="Compact"/>
      </w:pPr>
      <w:r>
        <w:t xml:space="preserve">Circular Programs: xjvezdgowx operates a product take-back scheme in key European markets. [Assumed from gjjdyyhypz]</w:t>
      </w:r>
    </w:p>
    <w:p>
      <w:pPr>
        <w:numPr>
          <w:ilvl w:val="0"/>
          <w:numId w:val="1016"/>
        </w:numPr>
        <w:pStyle w:val="Compact"/>
      </w:pPr>
      <w:r>
        <w:t xml:space="preserve">Total Product Weight (for EoL considerations): 5 kg/unit</w:t>
      </w:r>
    </w:p>
    <w:p>
      <w:pPr>
        <w:pStyle w:val="FirstParagraph"/>
      </w:pPr>
      <w:r>
        <w:t xml:space="preserve">Assuming a default disposal emission for the non-recycled portion and a credit for recycled materials (avoided burden approach).</w:t>
      </w:r>
      <w:r>
        <w:br/>
      </w:r>
      <w:r>
        <w:t xml:space="preserve">Non-recycled portion = 100% - 80% = 20%</w:t>
      </w:r>
      <w:r>
        <w:br/>
      </w:r>
      <w:r>
        <w:t xml:space="preserve">Emissions from disposal of non-recycled portion:</w:t>
      </w:r>
      <w:r>
        <w:br/>
      </w:r>
      <w:r>
        <w:t xml:space="preserve">Disposal Emissions = Total Product Weight * Non-recycled portion * Generic Waste Disposal EF</w:t>
      </w:r>
      <w:r>
        <w:br/>
      </w:r>
      <w:r>
        <w:t xml:space="preserve">Disposal Emissions = 5 kg/unit * 0.20 * 0.1 kgCO2e/kg (illustrative) = 0.1 kgCO2e/unit</w:t>
      </w:r>
    </w:p>
    <w:p>
      <w:pPr>
        <w:pStyle w:val="BodyText"/>
      </w:pPr>
      <w:r>
        <w:t xml:space="preserve">Recycling Credit (Avoided Burden):</w:t>
      </w:r>
      <w:r>
        <w:br/>
      </w:r>
      <w:r>
        <w:t xml:space="preserve">By recycling 80% of the product, new material production is avoided. A simple approximation for credit is to assume a percentage of the material impact is offset. Given that metals and plastics have higher impacts, and 80% is recycled, a significant credit is expected. For this report, we\'ll model it as a reduction in gross EoL emissions rather than a negative value. The take-back scheme further enhances the efficiency of recycling.</w:t>
      </w:r>
      <w:r>
        <w:br/>
      </w:r>
      <w:r>
        <w:t xml:space="preserve">For a more precise calculation, the emission factors of virgin vs. recycled materials and the energy required for recycling would be needed. For this analysis, we assume the 80% recyclability and the take-back program effectively mitigate a large portion of EoL impacts, resulting in low net emissions for this stage.</w:t>
      </w:r>
      <w:r>
        <w:br/>
      </w:r>
      <w:r>
        <w:t xml:space="preserve">Net EoL Emissions = 0.1 kgCO2e/unit (This is a simplified calculation considering the recycling efforts as a reduction in disposal impact rather than a full credit for avoided virgin material, which requires more specific data).</w:t>
      </w:r>
    </w:p>
    <w:p>
      <w:pPr>
        <w:pStyle w:val="BodyText"/>
      </w:pPr>
      <w:r>
        <w:rPr>
          <w:bCs/>
          <w:b/>
        </w:rPr>
        <w:t xml:space="preserve">End-of-Life Emissions = 0.10 kgCO2e/unit</w:t>
      </w:r>
    </w:p>
    <w:p>
      <w:r>
        <w:pict>
          <v:rect style="width:0;height:1.5pt" o:hralign="center" o:hrstd="t" o:hr="t"/>
        </w:pict>
      </w:r>
    </w:p>
    <w:bookmarkEnd w:id="43"/>
    <w:bookmarkEnd w:id="44"/>
    <w:bookmarkStart w:id="45" w:name="X0143c7eac2098f675c1a8dc0e3fa4c9013ae3ab"/>
    <w:p>
      <w:pPr>
        <w:pStyle w:val="Heading2"/>
      </w:pPr>
      <w:r>
        <w:t xml:space="preserve">Summary of Product Carbon Footprint Results</w:t>
      </w:r>
    </w:p>
    <w:p>
      <w:pPr>
        <w:pStyle w:val="FirstParagraph"/>
      </w:pPr>
      <w:r>
        <w:t xml:space="preserve">The total Product Carbon Footprint for one unit of xsszeejzgx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CO2e per unit (kg)</w:t>
            </w:r>
          </w:p>
        </w:tc>
      </w:tr>
      <w:tr>
        <w:tc>
          <w:tcPr/>
          <w:p>
            <w:pPr>
              <w:pStyle w:val="Compact"/>
              <w:jc w:val="left"/>
            </w:pPr>
            <w:r>
              <w:t xml:space="preserve">1. Raw Material Acquisition &amp; Pre-processing</w:t>
            </w:r>
          </w:p>
        </w:tc>
        <w:tc>
          <w:tcPr/>
          <w:p>
            <w:pPr>
              <w:pStyle w:val="Compact"/>
              <w:jc w:val="left"/>
            </w:pPr>
            <w:r>
              <w:t xml:space="preserve">Scope 3 (Upstream)</w:t>
            </w:r>
          </w:p>
        </w:tc>
        <w:tc>
          <w:tcPr/>
          <w:p>
            <w:pPr>
              <w:pStyle w:val="Compact"/>
              <w:jc w:val="left"/>
            </w:pPr>
            <w:r>
              <w:t xml:space="preserve">36.10</w:t>
            </w:r>
          </w:p>
        </w:tc>
      </w:tr>
      <w:tr>
        <w:tc>
          <w:tcPr/>
          <w:p>
            <w:pPr>
              <w:pStyle w:val="Compact"/>
              <w:jc w:val="left"/>
            </w:pPr>
            <w:r>
              <w:t xml:space="preserve">2. Production/Manufacturing</w:t>
            </w:r>
          </w:p>
        </w:tc>
        <w:tc>
          <w:tcPr/>
          <w:p>
            <w:pPr>
              <w:pStyle w:val="Compact"/>
              <w:jc w:val="left"/>
            </w:pPr>
            <w:r>
              <w:t xml:space="preserve">Scope 2 (partial Scope 1 &amp; 3 Upstream)</w:t>
            </w:r>
          </w:p>
        </w:tc>
        <w:tc>
          <w:tcPr/>
          <w:p>
            <w:pPr>
              <w:pStyle w:val="Compact"/>
              <w:jc w:val="left"/>
            </w:pPr>
            <w:r>
              <w:t xml:space="preserve">3.63</w:t>
            </w:r>
          </w:p>
        </w:tc>
      </w:tr>
      <w:tr>
        <w:tc>
          <w:tcPr/>
          <w:p>
            <w:pPr>
              <w:pStyle w:val="Compact"/>
              <w:jc w:val="left"/>
            </w:pPr>
            <w:r>
              <w:t xml:space="preserve">3. Transportation &amp; Distribution</w:t>
            </w:r>
          </w:p>
        </w:tc>
        <w:tc>
          <w:tcPr/>
          <w:p>
            <w:pPr>
              <w:pStyle w:val="Compact"/>
              <w:jc w:val="left"/>
            </w:pPr>
            <w:r>
              <w:t xml:space="preserve">Scope 3 (Upstream &amp; Downstream)</w:t>
            </w:r>
          </w:p>
        </w:tc>
        <w:tc>
          <w:tcPr/>
          <w:p>
            <w:pPr>
              <w:pStyle w:val="Compact"/>
              <w:jc w:val="left"/>
            </w:pPr>
            <w:r>
              <w:t xml:space="preserve">0.63</w:t>
            </w:r>
          </w:p>
        </w:tc>
      </w:tr>
      <w:tr>
        <w:tc>
          <w:tcPr/>
          <w:p>
            <w:pPr>
              <w:pStyle w:val="Compact"/>
              <w:jc w:val="left"/>
            </w:pPr>
            <w:r>
              <w:t xml:space="preserve">4. Use Phase</w:t>
            </w:r>
          </w:p>
        </w:tc>
        <w:tc>
          <w:tcPr/>
          <w:p>
            <w:pPr>
              <w:pStyle w:val="Compact"/>
              <w:jc w:val="left"/>
            </w:pPr>
            <w:r>
              <w:t xml:space="preserve">Scope 3 (Downstream)</w:t>
            </w:r>
          </w:p>
        </w:tc>
        <w:tc>
          <w:tcPr/>
          <w:p>
            <w:pPr>
              <w:pStyle w:val="Compact"/>
              <w:jc w:val="left"/>
            </w:pPr>
            <w:r>
              <w:t xml:space="preserve">9.05</w:t>
            </w:r>
          </w:p>
        </w:tc>
      </w:tr>
      <w:tr>
        <w:tc>
          <w:tcPr/>
          <w:p>
            <w:pPr>
              <w:pStyle w:val="Compact"/>
              <w:jc w:val="left"/>
            </w:pPr>
            <w:r>
              <w:t xml:space="preserve">5. End-of-Life</w:t>
            </w:r>
          </w:p>
        </w:tc>
        <w:tc>
          <w:tcPr/>
          <w:p>
            <w:pPr>
              <w:pStyle w:val="Compact"/>
              <w:jc w:val="left"/>
            </w:pPr>
            <w:r>
              <w:t xml:space="preserve">Scope 3 (Downstream)</w:t>
            </w:r>
          </w:p>
        </w:tc>
        <w:tc>
          <w:tcPr/>
          <w:p>
            <w:pPr>
              <w:pStyle w:val="Compact"/>
              <w:jc w:val="left"/>
            </w:pPr>
            <w:r>
              <w:t xml:space="preserve">0.10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49.51 kgCO2e/unit</w:t>
            </w:r>
          </w:p>
        </w:tc>
      </w:tr>
    </w:tbl>
    <w:p>
      <w:r>
        <w:pict>
          <v:rect style="width:0;height:1.5pt" o:hralign="center" o:hrstd="t" o:hr="t"/>
        </w:pict>
      </w:r>
    </w:p>
    <w:bookmarkEnd w:id="45"/>
    <w:bookmarkStart w:id="46" w:name="hotspot-analysis-and-reliability"/>
    <w:p>
      <w:pPr>
        <w:pStyle w:val="Heading2"/>
      </w:pPr>
      <w:r>
        <w:t xml:space="preserve">Hotspot Analysis and Reliability</w:t>
      </w:r>
    </w:p>
    <w:p>
      <w:pPr>
        <w:pStyle w:val="FirstParagraph"/>
      </w:pPr>
      <w:r>
        <w:t xml:space="preserve">The most significant hotspot in the lifecycle of xsszeejzgx is clearly the</w:t>
      </w:r>
      <w:r>
        <w:t xml:space="preserve"> </w:t>
      </w:r>
      <w:r>
        <w:rPr>
          <w:bCs/>
          <w:b/>
        </w:rPr>
        <w:t xml:space="preserve">Raw Material Acquisition &amp; Pre-processing phase</w:t>
      </w:r>
      <w:r>
        <w:t xml:space="preserve">, contributing approximately 72.9% of the total PCF (36.10 kgCO2e). This is largely driven by the embedded emissions of high-impact materials such as Aluminium and potentially complex electronic components like the Circuit Board and Lithium-ion Battery.</w:t>
      </w:r>
    </w:p>
    <w:p>
      <w:pPr>
        <w:pStyle w:val="BodyText"/>
      </w:pPr>
      <w:r>
        <w:t xml:space="preserve">The</w:t>
      </w:r>
      <w:r>
        <w:t xml:space="preserve"> </w:t>
      </w:r>
      <w:r>
        <w:rPr>
          <w:bCs/>
          <w:b/>
        </w:rPr>
        <w:t xml:space="preserve">Use Phase</w:t>
      </w:r>
      <w:r>
        <w:t xml:space="preserve"> </w:t>
      </w:r>
      <w:r>
        <w:t xml:space="preserve">is the second largest contributor, accounting for approximately 18.3% (9.05 kgCO2e), mainly due to electricity consumption over the product\'s lifespan.</w:t>
      </w:r>
    </w:p>
    <w:p>
      <w:pPr>
        <w:pStyle w:val="BodyText"/>
      </w:pPr>
      <w:r>
        <w:t xml:space="preserve">The</w:t>
      </w:r>
      <w:r>
        <w:t xml:space="preserve"> </w:t>
      </w:r>
      <w:r>
        <w:rPr>
          <w:bCs/>
          <w:b/>
        </w:rPr>
        <w:t xml:space="preserve">Production/Manufacturing phase</w:t>
      </w:r>
      <w:r>
        <w:t xml:space="preserve">, despite occurring in China, shows a relatively lower impact due to the assumed high renewable energy usage (75%) by xjvezdgowx. Transportation and End-of-Life phases contribute relatively smaller percentages.</w:t>
      </w:r>
    </w:p>
    <w:p>
      <w:pPr>
        <w:pStyle w:val="BodyText"/>
      </w:pPr>
      <w:r>
        <w:rPr>
          <w:bCs/>
          <w:b/>
        </w:rPr>
        <w:t xml:space="preserve">Reliability:</w:t>
      </w:r>
      <w:r>
        <w:t xml:space="preserve"> </w:t>
      </w:r>
      <w:r>
        <w:t xml:space="preserve">The reliability of this report is considered good, given the use of provided specific data for BOM, energy intensity, and logistical parameters. Emission factors are sourced from recognized databases like DEFRA and GLEC. However, the accuracy could be further enhanced with more granular primary data, such as:</w:t>
      </w:r>
    </w:p>
    <w:p>
      <w:pPr>
        <w:numPr>
          <w:ilvl w:val="0"/>
          <w:numId w:val="1017"/>
        </w:numPr>
        <w:pStyle w:val="Compact"/>
      </w:pPr>
      <w:r>
        <w:t xml:space="preserve">Specific emission factors for each raw material from actual suppliers.</w:t>
      </w:r>
    </w:p>
    <w:p>
      <w:pPr>
        <w:numPr>
          <w:ilvl w:val="0"/>
          <w:numId w:val="1017"/>
        </w:numPr>
        <w:pStyle w:val="Compact"/>
      </w:pPr>
      <w:r>
        <w:t xml:space="preserve">Exact energy mix for the production facility in China, beyond a general renewable percentage.</w:t>
      </w:r>
    </w:p>
    <w:p>
      <w:pPr>
        <w:numPr>
          <w:ilvl w:val="0"/>
          <w:numId w:val="1017"/>
        </w:numPr>
        <w:pStyle w:val="Compact"/>
      </w:pPr>
      <w:r>
        <w:t xml:space="preserve">Actual weights and fill rates for transport modes.</w:t>
      </w:r>
    </w:p>
    <w:p>
      <w:pPr>
        <w:numPr>
          <w:ilvl w:val="0"/>
          <w:numId w:val="1017"/>
        </w:numPr>
        <w:pStyle w:val="Compact"/>
      </w:pPr>
      <w:r>
        <w:t xml:space="preserve">More detailed regional grid mixes for the use phase within Europe.</w:t>
      </w:r>
    </w:p>
    <w:p>
      <w:pPr>
        <w:numPr>
          <w:ilvl w:val="0"/>
          <w:numId w:val="1017"/>
        </w:numPr>
        <w:pStyle w:val="Compact"/>
      </w:pPr>
      <w:r>
        <w:t xml:space="preserve">Detailed EoL processing data and specific avoided burden factors for recycled materials.</w:t>
      </w:r>
    </w:p>
    <w:p>
      <w:r>
        <w:pict>
          <v:rect style="width:0;height:1.5pt" o:hralign="center" o:hrstd="t" o:hr="t"/>
        </w:pict>
      </w:r>
    </w:p>
    <w:bookmarkEnd w:id="46"/>
    <w:bookmarkStart w:id="47" w:name="X788fbff7c021e2a678ac07c45b3966641b0fc80"/>
    <w:p>
      <w:pPr>
        <w:pStyle w:val="Heading2"/>
      </w:pPr>
      <w:r>
        <w:t xml:space="preserve">Recommendations for Carbon Footprint Reduction</w:t>
      </w:r>
    </w:p>
    <w:p>
      <w:pPr>
        <w:pStyle w:val="FirstParagraph"/>
      </w:pPr>
      <w:r>
        <w:t xml:space="preserve">Based on the hotspot analysis, the following recommendations are provided to xjvezdgowx to reduce the PCF of xsszeejzgx:</w:t>
      </w:r>
    </w:p>
    <w:p>
      <w:pPr>
        <w:numPr>
          <w:ilvl w:val="0"/>
          <w:numId w:val="1018"/>
        </w:numPr>
        <w:pStyle w:val="Compact"/>
      </w:pPr>
      <w:r>
        <w:rPr>
          <w:bCs/>
          <w:b/>
        </w:rPr>
        <w:t xml:space="preserve">Material Optimization (Highest Impact Area):</w:t>
      </w:r>
    </w:p>
    <w:p>
      <w:pPr>
        <w:numPr>
          <w:ilvl w:val="1"/>
          <w:numId w:val="1019"/>
        </w:numPr>
        <w:pStyle w:val="Compact"/>
      </w:pPr>
      <w:r>
        <w:t xml:space="preserve">Investigate alternative, lower-carbon materials for the Aluminium Casing and other high-impact components.</w:t>
      </w:r>
    </w:p>
    <w:p>
      <w:pPr>
        <w:numPr>
          <w:ilvl w:val="1"/>
          <w:numId w:val="1019"/>
        </w:numPr>
        <w:pStyle w:val="Compact"/>
      </w:pPr>
      <w:r>
        <w:t xml:space="preserve">Explore design changes to reduce the quantity of high-impact materials (e.g., lightweighting).</w:t>
      </w:r>
    </w:p>
    <w:p>
      <w:pPr>
        <w:numPr>
          <w:ilvl w:val="1"/>
          <w:numId w:val="1019"/>
        </w:numPr>
        <w:pStyle w:val="Compact"/>
      </w:pPr>
      <w:r>
        <w:t xml:space="preserve">Increase the use of recycled content in materials, particularly aluminium and plastics, ensuring robust verification of recycled input.</w:t>
      </w:r>
    </w:p>
    <w:p>
      <w:pPr>
        <w:numPr>
          <w:ilvl w:val="1"/>
          <w:numId w:val="1019"/>
        </w:numPr>
        <w:pStyle w:val="Compact"/>
      </w:pPr>
      <w:r>
        <w:t xml:space="preserve">Engage with suppliers of high-impact components (e.g., Circuit Board, Battery) to understand and encourage their decarbonization efforts.</w:t>
      </w:r>
    </w:p>
    <w:p>
      <w:pPr>
        <w:numPr>
          <w:ilvl w:val="0"/>
          <w:numId w:val="1018"/>
        </w:numPr>
        <w:pStyle w:val="Compact"/>
      </w:pPr>
      <w:r>
        <w:rPr>
          <w:bCs/>
          <w:b/>
        </w:rPr>
        <w:t xml:space="preserve">Energy Efficiency in Use Phase:</w:t>
      </w:r>
    </w:p>
    <w:p>
      <w:pPr>
        <w:numPr>
          <w:ilvl w:val="1"/>
          <w:numId w:val="1020"/>
        </w:numPr>
        <w:pStyle w:val="Compact"/>
      </w:pPr>
      <w:r>
        <w:t xml:space="preserve">Optimize product design for energy efficiency to reduce electricity consumption during the 5-year lifespan.</w:t>
      </w:r>
    </w:p>
    <w:p>
      <w:pPr>
        <w:numPr>
          <w:ilvl w:val="1"/>
          <w:numId w:val="1020"/>
        </w:numPr>
        <w:pStyle w:val="Compact"/>
      </w:pPr>
      <w:r>
        <w:t xml:space="preserve">Provide clear guidance to end-users on energy-saving practices.</w:t>
      </w:r>
    </w:p>
    <w:p>
      <w:pPr>
        <w:numPr>
          <w:ilvl w:val="1"/>
          <w:numId w:val="1020"/>
        </w:numPr>
        <w:pStyle w:val="Compact"/>
      </w:pPr>
      <w:r>
        <w:t xml:space="preserve">Explore integration with smart home systems to manage energy use intelligently.</w:t>
      </w:r>
    </w:p>
    <w:p>
      <w:pPr>
        <w:numPr>
          <w:ilvl w:val="0"/>
          <w:numId w:val="1018"/>
        </w:numPr>
        <w:pStyle w:val="Compact"/>
      </w:pPr>
      <w:r>
        <w:rPr>
          <w:bCs/>
          <w:b/>
        </w:rPr>
        <w:t xml:space="preserve">Production Energy Decarbonization:</w:t>
      </w:r>
    </w:p>
    <w:p>
      <w:pPr>
        <w:numPr>
          <w:ilvl w:val="1"/>
          <w:numId w:val="1021"/>
        </w:numPr>
        <w:pStyle w:val="Compact"/>
      </w:pPr>
      <w:r>
        <w:t xml:space="preserve">While 75% renewable energy usage is good, aim for 100% renewable energy procurement for manufacturing operations in China. This could involve direct Power Purchase Agreements (PPAs) or investing in on-site renewables.</w:t>
      </w:r>
    </w:p>
    <w:p>
      <w:pPr>
        <w:numPr>
          <w:ilvl w:val="1"/>
          <w:numId w:val="1021"/>
        </w:numPr>
        <w:pStyle w:val="Compact"/>
      </w:pPr>
      <w:r>
        <w:t xml:space="preserve">Continuously improve manufacturing process efficiency to reduce overall energy intensity (kWh/unit).</w:t>
      </w:r>
    </w:p>
    <w:p>
      <w:pPr>
        <w:numPr>
          <w:ilvl w:val="0"/>
          <w:numId w:val="1018"/>
        </w:numPr>
        <w:pStyle w:val="Compact"/>
      </w:pPr>
      <w:r>
        <w:rPr>
          <w:bCs/>
          <w:b/>
        </w:rPr>
        <w:t xml:space="preserve">Circular Economy Enhancement:</w:t>
      </w:r>
    </w:p>
    <w:p>
      <w:pPr>
        <w:numPr>
          <w:ilvl w:val="1"/>
          <w:numId w:val="1022"/>
        </w:numPr>
        <w:pStyle w:val="Compact"/>
      </w:pPr>
      <w:r>
        <w:t xml:space="preserve">Expand and promote the existing product take-back scheme.</w:t>
      </w:r>
    </w:p>
    <w:p>
      <w:pPr>
        <w:numPr>
          <w:ilvl w:val="1"/>
          <w:numId w:val="1022"/>
        </w:numPr>
        <w:pStyle w:val="Compact"/>
      </w:pPr>
      <w:r>
        <w:t xml:space="preserve">Design for disassembly and modularity to facilitate repair, refurbishment, and easier recycling of components.</w:t>
      </w:r>
    </w:p>
    <w:p>
      <w:pPr>
        <w:numPr>
          <w:ilvl w:val="1"/>
          <w:numId w:val="1022"/>
        </w:numPr>
        <w:pStyle w:val="Compact"/>
      </w:pPr>
      <w:r>
        <w:t xml:space="preserve">Investigate new technologies or partnerships for higher-value recycling or remanufacturing of returned products.</w:t>
      </w:r>
    </w:p>
    <w:p>
      <w:pPr>
        <w:numPr>
          <w:ilvl w:val="0"/>
          <w:numId w:val="1018"/>
        </w:numPr>
        <w:pStyle w:val="Compact"/>
      </w:pPr>
      <w:r>
        <w:rPr>
          <w:bCs/>
          <w:b/>
        </w:rPr>
        <w:t xml:space="preserve">Supply Chain Engagement:</w:t>
      </w:r>
    </w:p>
    <w:p>
      <w:pPr>
        <w:numPr>
          <w:ilvl w:val="1"/>
          <w:numId w:val="1023"/>
        </w:numPr>
        <w:pStyle w:val="Compact"/>
      </w:pPr>
      <w:r>
        <w:t xml:space="preserve">Work with logistics providers to optimize routes, consolidate shipments, and prioritize lower-emission transport modes (e.g., rail over road where feasible in Europe).</w:t>
      </w:r>
    </w:p>
    <w:p>
      <w:pPr>
        <w:numPr>
          <w:ilvl w:val="1"/>
          <w:numId w:val="1023"/>
        </w:numPr>
        <w:pStyle w:val="Compact"/>
      </w:pPr>
      <w:r>
        <w:t xml:space="preserve">Encourage suppliers to measure and report their Scope 1, 2, and 3 emissions for more accurate primary data integration into the PCF.</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xsszeejzgx</dc:title>
  <dc:creator/>
  <dc:description>Detailed Product Carbon Footprint (PCF) analysis report for xsszeejzgx, performed by Senior Sustainability Consultant eshhjyvpwv for xjvezdgowx, adhering to GHG Protocol standards and 2026 LSR Update.</dc:description>
  <dc:language>en</dc:language>
  <cp:keywords/>
  <dcterms:created xsi:type="dcterms:W3CDTF">2026-07-15T06:03:08Z</dcterms:created>
  <dcterms:modified xsi:type="dcterms:W3CDTF">2026-07-15T06:03:08Z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