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xqxxqneunh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xqxxqneunh</w:t>
      </w:r>
    </w:p>
    <w:p>
      <w:pPr>
        <w:pStyle w:val="BodyText"/>
      </w:pPr>
      <w:r>
        <w:t xml:space="preserve">Company: ifxqliskqn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npqwgurwxm</w:t>
      </w:r>
    </w:p>
    <w:p>
      <w:pPr>
        <w:pStyle w:val="BodyText"/>
      </w:pPr>
      <w:r>
        <w:t xml:space="preserve">This report is generated based on available data and industry standards. While every effort has been made to ensure accuracy and completeness, the calculations rely on the provided parameters and illustrative emission factors where primary data was not available for the placeholders. As such, the results represent an estimate of the product\'s carbon footprint.</w:t>
      </w:r>
    </w:p>
    <w:bookmarkEnd w:id="20"/>
    <w:bookmarkStart w:id="21" w:name="X9ac115c7630ef70f97c9b177a7cee1410a5de6a"/>
    <w:p>
      <w:pPr>
        <w:pStyle w:val="Heading1"/>
      </w:pPr>
      <w:r>
        <w:t xml:space="preserve">Product Carbon Footprint Analysis Report: xqxxqneunh</w:t>
      </w:r>
    </w:p>
    <w:p>
      <w:pPr>
        <w:pStyle w:val="FirstParagraph"/>
      </w:pPr>
      <w:r>
        <w:rPr>
          <w:bCs/>
          <w:b/>
        </w:rPr>
        <w:t xml:space="preserve">Generated Date:</w:t>
      </w:r>
      <w:r>
        <w:t xml:space="preserve"> </w:t>
      </w:r>
      <w:r>
        <w:t xml:space="preserve">May 19,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"xqxxqneunh" manufactured by "ifxqliskqn". As Senior Sustainability Consultant "npqwgurwxm", this analysis adheres strictly to the GHG Protocol, incorporating projected 2026 updates including the Land Sector and Removals (LSR) Standard and enhanced Scope 3 coverage requirements. The PCF quantifies greenhouse gas (GHG) emissions across the product\'s lifecycle, from raw material extraction to end-of-life, expressed in carbon dioxide equivalents (CO2e). The total Product Carbon Footprint for one functional unit of xqxxqneunh is estimated at 11.73 kg CO2e.</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The initial phase of the PCF analysis establishes the boundaries and functional unit for consistent and accurate assessment.</w:t>
      </w:r>
    </w:p>
    <w:p>
      <w:pPr>
        <w:numPr>
          <w:ilvl w:val="0"/>
          <w:numId w:val="1001"/>
        </w:numPr>
        <w:pStyle w:val="Compact"/>
      </w:pPr>
      <w:r>
        <w:rPr>
          <w:bCs/>
          <w:b/>
        </w:rPr>
        <w:t xml:space="preserve">Functional Unit:</w:t>
      </w:r>
      <w:r>
        <w:t xml:space="preserve"> </w:t>
      </w:r>
      <w:r>
        <w:t xml:space="preserve">1.0 unit of xqxxqneunh.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Factory-Gate. This "cradle-to-gate" boundary for initial material and production assessment encompasses raw material acquisition, manufacturing of components, and the assembly processes up to the point the finished product leaves the factory. However, the comprehensive analysis extends beyond the factory gate to a "cradle-to-grave" perspective, including transport, use phase, and end-of-life, to provide a holistic view in line with GHG Protocol Product Standard recommendations.</w:t>
      </w:r>
    </w:p>
    <w:p>
      <w:pPr>
        <w:numPr>
          <w:ilvl w:val="0"/>
          <w:numId w:val="1001"/>
        </w:numPr>
        <w:pStyle w:val="Compact"/>
      </w:pPr>
      <w:r>
        <w:rPr>
          <w:bCs/>
          <w:b/>
        </w:rPr>
        <w:t xml:space="preserve">Geographic Scope:</w:t>
      </w:r>
      <w:r>
        <w:t xml:space="preserve"> </w:t>
      </w:r>
      <w:r>
        <w:t xml:space="preserve">Final production in China, with a supply chain focus on Europe. This implies materials may originate in Europe and be transported to China for manufacturing, with the finished product then distributed to Europe.</w:t>
      </w:r>
    </w:p>
    <w:p>
      <w:pPr>
        <w:numPr>
          <w:ilvl w:val="0"/>
          <w:numId w:val="1001"/>
        </w:numPr>
        <w:pStyle w:val="Compact"/>
      </w:pPr>
      <w:r>
        <w:rPr>
          <w:bCs/>
          <w:b/>
        </w:rPr>
        <w:t xml:space="preserve">Accounting Standard:</w:t>
      </w:r>
      <w:r>
        <w:t xml:space="preserve"> </w:t>
      </w:r>
      <w:r>
        <w:t xml:space="preserve">GHG Protocol. This standard categorizes emissions into Scope 1 (direct emissions), Scope 2 (indirect emissions from purchased energy), and Scope 3 (all other indirect emissions across the value chain). This report explicitly follows these definitions for comprehensive reporting.</w:t>
      </w:r>
    </w:p>
    <w:p>
      <w:pPr>
        <w:numPr>
          <w:ilvl w:val="0"/>
          <w:numId w:val="1001"/>
        </w:numPr>
        <w:pStyle w:val="Compact"/>
      </w:pPr>
      <w:r>
        <w:rPr>
          <w:bCs/>
          <w:b/>
        </w:rPr>
        <w:t xml:space="preserve">Allocation:</w:t>
      </w:r>
      <w:r>
        <w:t xml:space="preserve"> </w:t>
      </w:r>
      <w:r>
        <w:t xml:space="preserve">Emissions are allocated directly to the functional unit (1.0 unit of xqxxqneunh). For co-products or shared processes, mass-based allocation is assumed where specific primary data is unavailable, consistent with ISO standards and GHG Protocol guidance.</w:t>
      </w:r>
    </w:p>
    <w:bookmarkEnd w:id="23"/>
    <w:p>
      <w:r>
        <w:pict>
          <v:rect style="width:0;height:1.5pt" o:hralign="center" o:hrstd="t" o:hr="t"/>
        </w:pict>
      </w:r>
    </w:p>
    <w:bookmarkStart w:id="25" w:name="map-lifecycle-lci-inventory-stages"/>
    <w:p>
      <w:pPr>
        <w:pStyle w:val="Heading2"/>
      </w:pPr>
      <w:r>
        <w:t xml:space="preserve">2. Map Lifecycle (LCI Inventory Stages)</w:t>
      </w:r>
    </w:p>
    <w:p>
      <w:pPr>
        <w:pStyle w:val="FirstParagraph"/>
      </w:pPr>
      <w:r>
        <w:t xml:space="preserve">The lifecycle of xqxxqneunh is mapped into distinct stages to systematically identify and quantify all relevant inputs and outputs. Given the nature of a \'Smart Home Device\', the key stages considered are:</w:t>
      </w:r>
    </w:p>
    <w:p>
      <w:pPr>
        <w:numPr>
          <w:ilvl w:val="0"/>
          <w:numId w:val="1002"/>
        </w:numPr>
        <w:pStyle w:val="Compact"/>
      </w:pPr>
      <w:r>
        <w:rPr>
          <w:bCs/>
          <w:b/>
        </w:rPr>
        <w:t xml:space="preserve">Raw Material Acquisition &amp; Pre-processing (Upstream):</w:t>
      </w:r>
      <w:r>
        <w:t xml:space="preserve"> </w:t>
      </w:r>
      <w:r>
        <w:t xml:space="preserve">Extraction and initial processing of all materials listed in the Bill of Materials (BOM).</w:t>
      </w:r>
    </w:p>
    <w:p>
      <w:pPr>
        <w:numPr>
          <w:ilvl w:val="0"/>
          <w:numId w:val="1002"/>
        </w:numPr>
        <w:pStyle w:val="Compact"/>
      </w:pPr>
      <w:r>
        <w:rPr>
          <w:bCs/>
          <w:b/>
        </w:rPr>
        <w:t xml:space="preserve">Manufacturing &amp; Assembly (Core Production):</w:t>
      </w:r>
      <w:r>
        <w:t xml:space="preserve"> </w:t>
      </w:r>
      <w:r>
        <w:t xml:space="preserve">Energy consumption and waste generation during the fabrication and assembly of xqxxqneunh at the ifxqliskqn facility in China.</w:t>
      </w:r>
    </w:p>
    <w:p>
      <w:pPr>
        <w:numPr>
          <w:ilvl w:val="0"/>
          <w:numId w:val="1002"/>
        </w:numPr>
        <w:pStyle w:val="Compact"/>
      </w:pPr>
      <w:r>
        <w:rPr>
          <w:bCs/>
          <w:b/>
        </w:rPr>
        <w:t xml:space="preserve">Transportation &amp; Distribution (Upstream &amp; Downstream):</w:t>
      </w:r>
      <w:r>
        <w:t xml:space="preserve"> </w:t>
      </w:r>
      <w:r>
        <w:t xml:space="preserve">Logistics associated with bringing raw materials to the factory (upstream) and distributing the finished product to the customer, including last-mile delivery (downstream).</w:t>
      </w:r>
    </w:p>
    <w:p>
      <w:pPr>
        <w:numPr>
          <w:ilvl w:val="0"/>
          <w:numId w:val="1002"/>
        </w:numPr>
        <w:pStyle w:val="Compact"/>
      </w:pPr>
      <w:r>
        <w:rPr>
          <w:bCs/>
          <w:b/>
        </w:rPr>
        <w:t xml:space="preserve">Use Phase:</w:t>
      </w:r>
      <w:r>
        <w:t xml:space="preserve"> </w:t>
      </w:r>
      <w:r>
        <w:t xml:space="preserve">Energy consumption by the product during its lifespan as used by the end-consumer.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Start w:id="24" w:name="X375f90d34e2738bf774185f3c83efd090ce459a"/>
    <w:p>
      <w:pPr>
        <w:pStyle w:val="Heading3"/>
      </w:pPr>
      <w:r>
        <w:t xml:space="preserve">Detailed Breakdown of Materials and Energy Inputs</w:t>
      </w:r>
    </w:p>
    <w:p>
      <w:pPr>
        <w:pStyle w:val="FirstParagraph"/>
      </w:pPr>
      <w:r>
        <w:t xml:space="preserve">The following Bill of Materials (BOM) for "iqxgizso" (representing xqxxqneunh) is used for high-accuracy material impact calculation. The values for Quantity (Qty), Unit, Emission Factor, and Total Carbon are illustrative examples based on industry averages and the specified format, as specific numerical data for the placeholder \'iqxgizso\' was not provided. The total product weight used for transport calculations is 0.6 kg (0.5 kg device + 0.1 kg packaging).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9.0</w:t>
            </w:r>
          </w:p>
        </w:tc>
        <w:tc>
          <w:tcPr/>
          <w:p>
            <w:pPr>
              <w:pStyle w:val="Compact"/>
              <w:jc w:val="left"/>
            </w:pPr>
            <w:r>
              <w:t xml:space="preserve">0.27</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M005</w:t>
            </w:r>
          </w:p>
        </w:tc>
        <w:tc>
          <w:tcPr/>
          <w:p>
            <w:pPr>
              <w:pStyle w:val="Compact"/>
              <w:jc w:val="left"/>
            </w:pPr>
            <w:r>
              <w:t xml:space="preserve">Li-ion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Total Material Impact:</w:t>
            </w:r>
          </w:p>
        </w:tc>
        <w:tc>
          <w:tcPr/>
          <w:p>
            <w:pPr>
              <w:pStyle w:val="Compact"/>
              <w:jc w:val="left"/>
            </w:pPr>
            <w:r>
              <w:rPr>
                <w:bCs/>
                <w:b/>
              </w:rPr>
              <w:t xml:space="preserve">3.99 kg CO2e</w:t>
            </w:r>
          </w:p>
        </w:tc>
      </w:tr>
    </w:tbl>
    <w:p>
      <w:pPr>
        <w:pStyle w:val="BodyText"/>
      </w:pPr>
      <w:r>
        <w:rPr>
          <w:bCs/>
          <w:b/>
        </w:rPr>
        <w:t xml:space="preserve">Energy Inputs for Production:</w:t>
      </w:r>
      <w:r>
        <w:t xml:space="preserve"> </w:t>
      </w:r>
      <w:r>
        <w:t xml:space="preserve">The manufacturing process consumes electricity. The energy intensity for producing one unit of xqxxqneunh is provided as 5.0 kWh/unit. The facility utilizes 40% renewable energy.</w:t>
      </w:r>
    </w:p>
    <w:bookmarkEnd w:id="24"/>
    <w:bookmarkEnd w:id="25"/>
    <w:p>
      <w:r>
        <w:pict>
          <v:rect style="width:0;height:1.5pt" o:hralign="center" o:hrstd="t" o:hr="t"/>
        </w:pict>
      </w:r>
    </w:p>
    <w:bookmarkStart w:id="31" w:name="Xb57f50a89bf1f3f1837369be949d9d60d6c1272"/>
    <w:p>
      <w:pPr>
        <w:pStyle w:val="Heading2"/>
      </w:pPr>
      <w:r>
        <w:t xml:space="preserve">3. Collect Data (Primary/Secondary Data Points)</w:t>
      </w:r>
    </w:p>
    <w:p>
      <w:pPr>
        <w:pStyle w:val="FirstParagraph"/>
      </w:pPr>
      <w:r>
        <w:t xml:space="preserve">Data collection involves gathering both primary and secondary data to quantify emissions. For this report, given the symbolic input parameters, illustrative data informed by recognized databases like Ecoinvent and DEFRA have been used.</w:t>
      </w:r>
    </w:p>
    <w:bookmarkStart w:id="26" w:name="material-data"/>
    <w:p>
      <w:pPr>
        <w:pStyle w:val="Heading3"/>
      </w:pPr>
      <w:r>
        <w:t xml:space="preserve">Material Data</w:t>
      </w:r>
    </w:p>
    <w:p>
      <w:pPr>
        <w:pStyle w:val="FirstParagraph"/>
      </w:pPr>
      <w:r>
        <w:t xml:space="preserve">The material data is derived from the detailed BOM (represented by \'iqxgizso\' and the illustrative table above). Emission factors for each material category (plastics, metals, electronics, packaging) are based on typical cradle-to-gate values from industry-standard databases, converted to kg CO2e/kg.</w:t>
      </w:r>
    </w:p>
    <w:bookmarkEnd w:id="26"/>
    <w:bookmarkStart w:id="27" w:name="logistics-data"/>
    <w:p>
      <w:pPr>
        <w:pStyle w:val="Heading3"/>
      </w:pPr>
      <w:r>
        <w:t xml:space="preserve">Logistics Data</w:t>
      </w:r>
    </w:p>
    <w:p>
      <w:pPr>
        <w:pStyle w:val="FirstParagraph"/>
      </w:pPr>
      <w:r>
        <w:t xml:space="preserve">Transportation impacts are calculated using the following illustrative parameters:</w:t>
      </w:r>
    </w:p>
    <w:p>
      <w:pPr>
        <w:numPr>
          <w:ilvl w:val="0"/>
          <w:numId w:val="1003"/>
        </w:numPr>
        <w:pStyle w:val="Compact"/>
      </w:pPr>
      <w:r>
        <w:rPr>
          <w:bCs/>
          <w:b/>
        </w:rPr>
        <w:t xml:space="preserve">Transport Mode (Upstream):</w:t>
      </w:r>
      <w:r>
        <w:t xml:space="preserve"> </w:t>
      </w:r>
      <w:r>
        <w:t xml:space="preserve">Ocean Freight for bulk materials (e.g., from Europe to China), followed by Road Freight for local delivery to the factory.</w:t>
      </w:r>
    </w:p>
    <w:p>
      <w:pPr>
        <w:numPr>
          <w:ilvl w:val="0"/>
          <w:numId w:val="1003"/>
        </w:numPr>
        <w:pStyle w:val="Compact"/>
      </w:pPr>
      <w:r>
        <w:rPr>
          <w:bCs/>
          <w:b/>
        </w:rPr>
        <w:t xml:space="preserve">Transport Mode (Downstream):</w:t>
      </w:r>
      <w:r>
        <w:t xml:space="preserve"> </w:t>
      </w:r>
      <w:r>
        <w:t xml:space="preserve">Ocean Freight for the finished product from China to a European distribution hub, followed by Road Freight within Europe, and then Last-Mile Delivery (parcel delivery).</w:t>
      </w:r>
    </w:p>
    <w:p>
      <w:pPr>
        <w:numPr>
          <w:ilvl w:val="0"/>
          <w:numId w:val="1003"/>
        </w:numPr>
        <w:pStyle w:val="Compact"/>
      </w:pPr>
      <w:r>
        <w:rPr>
          <w:bCs/>
          <w:b/>
        </w:rPr>
        <w:t xml:space="preserve">Transport Distance (Illustrative):</w:t>
      </w:r>
    </w:p>
    <w:p>
      <w:pPr>
        <w:numPr>
          <w:ilvl w:val="1"/>
          <w:numId w:val="1004"/>
        </w:numPr>
        <w:pStyle w:val="Compact"/>
      </w:pPr>
      <w:r>
        <w:t xml:space="preserve">Ocean Freight (Upstream &amp; Downstream): 15,000 km per leg</w:t>
      </w:r>
    </w:p>
    <w:p>
      <w:pPr>
        <w:numPr>
          <w:ilvl w:val="1"/>
          <w:numId w:val="1004"/>
        </w:numPr>
        <w:pStyle w:val="Compact"/>
      </w:pPr>
      <w:r>
        <w:t xml:space="preserve">Road Freight (Upstream &amp; Downstream): 500 km (upstream local) + 1,000 km (downstream distribution)</w:t>
      </w:r>
    </w:p>
    <w:p>
      <w:pPr>
        <w:numPr>
          <w:ilvl w:val="1"/>
          <w:numId w:val="1004"/>
        </w:numPr>
        <w:pStyle w:val="Compact"/>
      </w:pPr>
      <w:r>
        <w:t xml:space="preserve">Last-Mile Delivery: 50 km (average for parcel delivery)</w:t>
      </w:r>
    </w:p>
    <w:p>
      <w:pPr>
        <w:numPr>
          <w:ilvl w:val="0"/>
          <w:numId w:val="1003"/>
        </w:numPr>
        <w:pStyle w:val="Compact"/>
      </w:pPr>
      <w:r>
        <w:rPr>
          <w:bCs/>
          <w:b/>
        </w:rPr>
        <w:t xml:space="preserve">Emission Factors (Illustrative, per tonne-kilometer for freight, per package for last-mile):</w:t>
      </w:r>
    </w:p>
    <w:p>
      <w:pPr>
        <w:numPr>
          <w:ilvl w:val="1"/>
          <w:numId w:val="1005"/>
        </w:numPr>
        <w:pStyle w:val="Compact"/>
      </w:pPr>
      <w:r>
        <w:t xml:space="preserve">Ocean Freight: 0.01 kg CO2e/tkm</w:t>
      </w:r>
    </w:p>
    <w:p>
      <w:pPr>
        <w:numPr>
          <w:ilvl w:val="1"/>
          <w:numId w:val="1005"/>
        </w:numPr>
        <w:pStyle w:val="Compact"/>
      </w:pPr>
      <w:r>
        <w:t xml:space="preserve">Road Freight (Heavy Goods Vehicle): 0.08 kg CO2e/tkm</w:t>
      </w:r>
    </w:p>
    <w:p>
      <w:pPr>
        <w:numPr>
          <w:ilvl w:val="1"/>
          <w:numId w:val="1005"/>
        </w:numPr>
        <w:pStyle w:val="Compact"/>
      </w:pPr>
      <w:r>
        <w:t xml:space="preserve">Last-Mile Delivery (Parcel): 0.20 kg CO2e/unit (illustrative, for an average 50km delivery distance, reflecting inefficiencies of parcel delivery).</w:t>
      </w:r>
    </w:p>
    <w:bookmarkEnd w:id="27"/>
    <w:bookmarkStart w:id="28" w:name="X5077dc433e1da7ac35c89ed02c6fc33082866a4"/>
    <w:p>
      <w:pPr>
        <w:pStyle w:val="Heading3"/>
      </w:pPr>
      <w:r>
        <w:t xml:space="preserve">Energy Customization Data (Production Phase)</w:t>
      </w:r>
    </w:p>
    <w:p>
      <w:pPr>
        <w:numPr>
          <w:ilvl w:val="0"/>
          <w:numId w:val="1006"/>
        </w:numPr>
        <w:pStyle w:val="Compact"/>
      </w:pPr>
      <w:r>
        <w:rPr>
          <w:bCs/>
          <w:b/>
        </w:rPr>
        <w:t xml:space="preserve">Renewable Energy Usage:</w:t>
      </w:r>
      <w:r>
        <w:t xml:space="preserve"> </w:t>
      </w:r>
      <w:r>
        <w:t xml:space="preserve">40% of the electricity consumed at the manufacturing facility (China) is from renewable sources (`yhpsqeqjgl`).</w:t>
      </w:r>
    </w:p>
    <w:p>
      <w:pPr>
        <w:numPr>
          <w:ilvl w:val="0"/>
          <w:numId w:val="1006"/>
        </w:numPr>
        <w:pStyle w:val="Compact"/>
      </w:pPr>
      <w:r>
        <w:rPr>
          <w:bCs/>
          <w:b/>
        </w:rPr>
        <w:t xml:space="preserve">Energy Intensity:</w:t>
      </w:r>
      <w:r>
        <w:t xml:space="preserve"> </w:t>
      </w:r>
      <w:r>
        <w:t xml:space="preserve">5.0 kWh per unit of xqxxqneunh (`wvxeqywoit`).</w:t>
      </w:r>
    </w:p>
    <w:p>
      <w:pPr>
        <w:numPr>
          <w:ilvl w:val="0"/>
          <w:numId w:val="1006"/>
        </w:numPr>
        <w:pStyle w:val="Compact"/>
      </w:pPr>
      <w:r>
        <w:rPr>
          <w:bCs/>
          <w:b/>
        </w:rPr>
        <w:t xml:space="preserve">China Grid Electricity Emission Factor:</w:t>
      </w:r>
      <w:r>
        <w:t xml:space="preserve"> </w:t>
      </w:r>
      <w:r>
        <w:t xml:space="preserve">0.6205 kg CO2e/kWh (national average for 2023).</w:t>
      </w:r>
    </w:p>
    <w:bookmarkEnd w:id="28"/>
    <w:bookmarkStart w:id="29"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3 years (`jqwdgvwydw`).</w:t>
      </w:r>
    </w:p>
    <w:p>
      <w:pPr>
        <w:numPr>
          <w:ilvl w:val="0"/>
          <w:numId w:val="1007"/>
        </w:numPr>
        <w:pStyle w:val="Compact"/>
      </w:pPr>
      <w:r>
        <w:rPr>
          <w:bCs/>
          <w:b/>
        </w:rPr>
        <w:t xml:space="preserve">Energy Consumption in Use:</w:t>
      </w:r>
      <w:r>
        <w:t xml:space="preserve"> </w:t>
      </w:r>
      <w:r>
        <w:t xml:space="preserve">10 kWh per year (`qutzwyolrt`).</w:t>
      </w:r>
    </w:p>
    <w:p>
      <w:pPr>
        <w:numPr>
          <w:ilvl w:val="0"/>
          <w:numId w:val="1007"/>
        </w:numPr>
        <w:pStyle w:val="Compact"/>
      </w:pPr>
      <w:r>
        <w:rPr>
          <w:bCs/>
          <w:b/>
        </w:rPr>
        <w:t xml:space="preserve">Europe Grid Electricity Emission Factor:</w:t>
      </w:r>
      <w:r>
        <w:t xml:space="preserve"> </w:t>
      </w:r>
      <w:r>
        <w:t xml:space="preserve">0.175 kg CO2e/kWh (EU average for 2025/2026).</w:t>
      </w:r>
    </w:p>
    <w:bookmarkEnd w:id="29"/>
    <w:bookmarkStart w:id="30"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70% of the product\'s weight is recyclable (`mkgfkdlyju`).</w:t>
      </w:r>
    </w:p>
    <w:p>
      <w:pPr>
        <w:numPr>
          <w:ilvl w:val="0"/>
          <w:numId w:val="1008"/>
        </w:numPr>
        <w:pStyle w:val="Compact"/>
      </w:pPr>
      <w:r>
        <w:rPr>
          <w:bCs/>
          <w:b/>
        </w:rPr>
        <w:t xml:space="preserve">Circular/Take-back Programs:</w:t>
      </w:r>
      <w:r>
        <w:t xml:space="preserve"> </w:t>
      </w:r>
      <w:r>
        <w:t xml:space="preserve">ifxqliskqn operates a robust take-back program for xqxxqneunh, aiming to recover products for refurbishment or recycling (`oikseimuoo`).</w:t>
      </w:r>
    </w:p>
    <w:p>
      <w:pPr>
        <w:numPr>
          <w:ilvl w:val="0"/>
          <w:numId w:val="1008"/>
        </w:numPr>
        <w:pStyle w:val="Compact"/>
      </w:pPr>
      <w:r>
        <w:rPr>
          <w:bCs/>
          <w:b/>
        </w:rPr>
        <w:t xml:space="preserve">EoL Emission Factor (Illustrative):</w:t>
      </w:r>
      <w:r>
        <w:t xml:space="preserve"> </w:t>
      </w:r>
      <w:r>
        <w:t xml:space="preserve">1.0 kg CO2e/kg for non-recycled mixed waste (landfill/incineration).</w:t>
      </w:r>
    </w:p>
    <w:bookmarkEnd w:id="30"/>
    <w:bookmarkEnd w:id="31"/>
    <w:p>
      <w:r>
        <w:pict>
          <v:rect style="width:0;height:1.5pt" o:hralign="center" o:hrstd="t" o:hr="t"/>
        </w:pict>
      </w:r>
    </w:p>
    <w:bookmarkStart w:id="42" w:name="Xb404f6bea4a0013006ec7a9103609d9ea6643c1"/>
    <w:p>
      <w:pPr>
        <w:pStyle w:val="Heading2"/>
      </w:pPr>
      <w:r>
        <w:t xml:space="preserve">4. Calculate Emissions (Activity * Emission Factor = CO2e)</w:t>
      </w:r>
    </w:p>
    <w:p>
      <w:pPr>
        <w:pStyle w:val="FirstParagraph"/>
      </w:pPr>
      <w:r>
        <w:t xml:space="preserve">The calculation methodology quantifies emissions for each lifecycle stage, categorizing them according to the GHG Protocol Scopes. The total Product Carbon Footprint is expressed in kg CO2e per functional unit.</w:t>
      </w:r>
    </w:p>
    <w:bookmarkStart w:id="32" w:name="ghg-protocol-scope-categorization"/>
    <w:p>
      <w:pPr>
        <w:pStyle w:val="Heading3"/>
      </w:pPr>
      <w:r>
        <w:t xml:space="preserve">GHG Protocol Scope Categorization</w:t>
      </w:r>
    </w:p>
    <w:p>
      <w:pPr>
        <w:numPr>
          <w:ilvl w:val="0"/>
          <w:numId w:val="1009"/>
        </w:numPr>
        <w:pStyle w:val="Compact"/>
      </w:pPr>
      <w:r>
        <w:rPr>
          <w:bCs/>
          <w:b/>
        </w:rPr>
        <w:t xml:space="preserve">Scope 1 (Direct Emissions):</w:t>
      </w:r>
      <w:r>
        <w:t xml:space="preserve"> </w:t>
      </w:r>
      <w:r>
        <w:t xml:space="preserve">Emissions from sources owned or controlled by ifxqliskqn. For a \'factory_gate\' system boundary focusing on purchased electricity, no significant direct fuel combustion emissions are assumed and were not identified from the provided parameters.</w:t>
      </w:r>
    </w:p>
    <w:p>
      <w:pPr>
        <w:numPr>
          <w:ilvl w:val="0"/>
          <w:numId w:val="1009"/>
        </w:numPr>
        <w:pStyle w:val="Compact"/>
      </w:pPr>
      <w:r>
        <w:rPr>
          <w:bCs/>
          <w:b/>
        </w:rPr>
        <w:t xml:space="preserve">Scope 2 (Purchased Energy Emissions):</w:t>
      </w:r>
      <w:r>
        <w:t xml:space="preserve"> </w:t>
      </w:r>
      <w:r>
        <w:t xml:space="preserve">Indirect emissions from the generation of purchased electricity consumed by ifxqliskqn\'s manufacturing facility.</w:t>
      </w:r>
    </w:p>
    <w:p>
      <w:pPr>
        <w:numPr>
          <w:ilvl w:val="0"/>
          <w:numId w:val="1009"/>
        </w:numPr>
        <w:pStyle w:val="Compact"/>
      </w:pPr>
      <w:r>
        <w:rPr>
          <w:bCs/>
          <w:b/>
        </w:rPr>
        <w:t xml:space="preserve">Scope 3 (Value Chain Emissions):</w:t>
      </w:r>
      <w:r>
        <w:t xml:space="preserve"> </w:t>
      </w:r>
      <w:r>
        <w:t xml:space="preserve">All other indirect emissions occurring in the value chain, both upstream and downstream. This includes purchased goods and services (materials), upstream and downstream transportation, the use of sold products, and their end-of-life treatment.</w:t>
      </w:r>
    </w:p>
    <w:bookmarkEnd w:id="32"/>
    <w:bookmarkStart w:id="38" w:name="X25d2d9a0cc07e88bcf03409bb00001607e07907"/>
    <w:p>
      <w:pPr>
        <w:pStyle w:val="Heading3"/>
      </w:pPr>
      <w:r>
        <w:t xml:space="preserve">Detailed Emission Calculations per Stage (per functional unit)</w:t>
      </w:r>
    </w:p>
    <w:bookmarkStart w:id="33" w:name="Xabfc5d70e410f14d2f7576f55633b2659ee64d7"/>
    <w:p>
      <w:pPr>
        <w:pStyle w:val="Heading4"/>
      </w:pPr>
      <w:r>
        <w:t xml:space="preserve">A. Materials Acquisition &amp; Pre-processing (Scope 3, Category 1: Purchased Goods &amp; Services)</w:t>
      </w:r>
    </w:p>
    <w:p>
      <w:pPr>
        <w:pStyle w:val="FirstParagraph"/>
      </w:pPr>
      <w:r>
        <w:t xml:space="preserve">Based on the illustrative BOM, the total carbon footprint for materials is calculated by multiplying the quantity of each material by its respective emission factor.</w:t>
      </w:r>
    </w:p>
    <w:p>
      <w:pPr>
        <w:pStyle w:val="BodyText"/>
      </w:pPr>
      <w:r>
        <w:rPr>
          <w:bCs/>
          <w:b/>
        </w:rPr>
        <w:t xml:space="preserve">Total Material Emissions: 3.99 kg CO2e</w:t>
      </w:r>
    </w:p>
    <w:bookmarkEnd w:id="33"/>
    <w:bookmarkStart w:id="34" w:name="Xc6c56036293cd1fe8535f0fb848409f07cb4bd5"/>
    <w:p>
      <w:pPr>
        <w:pStyle w:val="Heading4"/>
      </w:pPr>
      <w:r>
        <w:t xml:space="preserve">B. Production Phase (Scope 2: Purchased Electricity)</w:t>
      </w:r>
    </w:p>
    <w:p>
      <w:pPr>
        <w:numPr>
          <w:ilvl w:val="0"/>
          <w:numId w:val="1010"/>
        </w:numPr>
        <w:pStyle w:val="Compact"/>
      </w:pPr>
      <w:r>
        <w:t xml:space="preserve">Energy Intensity: 5.0 kWh/unit (`wvxeqywoit`)</w:t>
      </w:r>
    </w:p>
    <w:p>
      <w:pPr>
        <w:numPr>
          <w:ilvl w:val="0"/>
          <w:numId w:val="1010"/>
        </w:numPr>
        <w:pStyle w:val="Compact"/>
      </w:pPr>
      <w:r>
        <w:t xml:space="preserve">Renewable Energy Usage: 40% (`yhpsqeqjgl`)</w:t>
      </w:r>
    </w:p>
    <w:p>
      <w:pPr>
        <w:numPr>
          <w:ilvl w:val="0"/>
          <w:numId w:val="1010"/>
        </w:numPr>
        <w:pStyle w:val="Compact"/>
      </w:pPr>
      <w:r>
        <w:t xml:space="preserve">China Grid Electricity Factor: 0.6205 kg CO2e/kWh</w:t>
      </w:r>
    </w:p>
    <w:p>
      <w:pPr>
        <w:numPr>
          <w:ilvl w:val="0"/>
          <w:numId w:val="1010"/>
        </w:numPr>
        <w:pStyle w:val="Compact"/>
      </w:pPr>
      <w:r>
        <w:t xml:space="preserve">Total Electricity Consumed: 5.0 kWh/unit</w:t>
      </w:r>
    </w:p>
    <w:p>
      <w:pPr>
        <w:numPr>
          <w:ilvl w:val="0"/>
          <w:numId w:val="1010"/>
        </w:numPr>
        <w:pStyle w:val="Compact"/>
      </w:pPr>
      <w:r>
        <w:t xml:space="preserve">Electricity from Renewable Sources (0 emissions assumed at point of use): 5.0 kWh * 0.40 = 2.0 kWh</w:t>
      </w:r>
    </w:p>
    <w:p>
      <w:pPr>
        <w:numPr>
          <w:ilvl w:val="0"/>
          <w:numId w:val="1010"/>
        </w:numPr>
        <w:pStyle w:val="Compact"/>
      </w:pPr>
      <w:r>
        <w:t xml:space="preserve">Electricity Purchased from Grid: 5.0 kWh * (1 - 0.40) = 3.0 kWh</w:t>
      </w:r>
    </w:p>
    <w:p>
      <w:pPr>
        <w:numPr>
          <w:ilvl w:val="0"/>
          <w:numId w:val="1010"/>
        </w:numPr>
        <w:pStyle w:val="Compact"/>
      </w:pPr>
      <w:r>
        <w:rPr>
          <w:bCs/>
          <w:b/>
        </w:rPr>
        <w:t xml:space="preserve">Production Emissions (Scope 2) = 3.0 kWh * 0.6205 kg CO2e/kWh = 1.86 kg CO2e</w:t>
      </w:r>
    </w:p>
    <w:bookmarkEnd w:id="34"/>
    <w:bookmarkStart w:id="35" w:name="X73170e2c87ba31e77c55f52007588478f7398c3"/>
    <w:p>
      <w:pPr>
        <w:pStyle w:val="Heading4"/>
      </w:pPr>
      <w:r>
        <w:t xml:space="preserve">C. Transportation &amp; Distribution (Scope 3, Category 4: Upstream &amp; Category 9: Downstream)</w:t>
      </w:r>
    </w:p>
    <w:p>
      <w:pPr>
        <w:pStyle w:val="FirstParagraph"/>
      </w:pPr>
      <w:r>
        <w:t xml:space="preserve">The product weight for transport calculations is 0.6 kg (0.0006 tonnes).</w:t>
      </w:r>
    </w:p>
    <w:p>
      <w:pPr>
        <w:numPr>
          <w:ilvl w:val="0"/>
          <w:numId w:val="1011"/>
        </w:numPr>
        <w:pStyle w:val="Compact"/>
      </w:pPr>
      <w:r>
        <w:rPr>
          <w:bCs/>
          <w:b/>
        </w:rPr>
        <w:t xml:space="preserve">Upstream Transport (Materials to China Factory):</w:t>
      </w:r>
    </w:p>
    <w:p>
      <w:pPr>
        <w:numPr>
          <w:ilvl w:val="1"/>
          <w:numId w:val="1012"/>
        </w:numPr>
        <w:pStyle w:val="Compact"/>
      </w:pPr>
      <w:r>
        <w:t xml:space="preserve">Ocean Freight: 15,000 km * 0.0006 t * 0.01 kg CO2e/tkm = 0.09 kg CO2e</w:t>
      </w:r>
    </w:p>
    <w:p>
      <w:pPr>
        <w:numPr>
          <w:ilvl w:val="1"/>
          <w:numId w:val="1012"/>
        </w:numPr>
        <w:pStyle w:val="Compact"/>
      </w:pPr>
      <w:r>
        <w:t xml:space="preserve">Road Freight: 500 km * 0.0006 t * 0.08 kg CO2e/tkm = 0.024 kg CO2e</w:t>
      </w:r>
    </w:p>
    <w:p>
      <w:pPr>
        <w:numPr>
          <w:ilvl w:val="1"/>
          <w:numId w:val="1012"/>
        </w:numPr>
        <w:pStyle w:val="Compact"/>
      </w:pPr>
      <w:r>
        <w:t xml:space="preserve">Subtotal Upstream Transport: 0.09 + 0.024 = 0.114 kg CO2e</w:t>
      </w:r>
    </w:p>
    <w:p>
      <w:pPr>
        <w:numPr>
          <w:ilvl w:val="0"/>
          <w:numId w:val="1011"/>
        </w:numPr>
        <w:pStyle w:val="Compact"/>
      </w:pPr>
      <w:r>
        <w:rPr>
          <w:bCs/>
          <w:b/>
        </w:rPr>
        <w:t xml:space="preserve">Downstream Transport (Finished Product to Europe and Last Mile):</w:t>
      </w:r>
    </w:p>
    <w:p>
      <w:pPr>
        <w:numPr>
          <w:ilvl w:val="1"/>
          <w:numId w:val="1013"/>
        </w:numPr>
        <w:pStyle w:val="Compact"/>
      </w:pPr>
      <w:r>
        <w:t xml:space="preserve">Ocean Freight: 15,000 km * 0.0006 t * 0.01 kg CO2e/tkm = 0.09 kg CO2e</w:t>
      </w:r>
    </w:p>
    <w:p>
      <w:pPr>
        <w:numPr>
          <w:ilvl w:val="1"/>
          <w:numId w:val="1013"/>
        </w:numPr>
        <w:pStyle w:val="Compact"/>
      </w:pPr>
      <w:r>
        <w:t xml:space="preserve">Road Freight: 1,000 km * 0.0006 t * 0.08 kg CO2e/tkm = 0.048 kg CO2e</w:t>
      </w:r>
    </w:p>
    <w:p>
      <w:pPr>
        <w:numPr>
          <w:ilvl w:val="1"/>
          <w:numId w:val="1013"/>
        </w:numPr>
        <w:pStyle w:val="Compact"/>
      </w:pPr>
      <w:r>
        <w:t xml:space="preserve">Last-Mile Delivery: 0.20 kg CO2e/unit (illustrative)</w:t>
      </w:r>
    </w:p>
    <w:p>
      <w:pPr>
        <w:numPr>
          <w:ilvl w:val="1"/>
          <w:numId w:val="1013"/>
        </w:numPr>
        <w:pStyle w:val="Compact"/>
      </w:pPr>
      <w:r>
        <w:t xml:space="preserve">Subtotal Downstream Transport: 0.09 + 0.048 + 0.20 = 0.338 kg CO2e</w:t>
      </w:r>
    </w:p>
    <w:p>
      <w:pPr>
        <w:numPr>
          <w:ilvl w:val="0"/>
          <w:numId w:val="1011"/>
        </w:numPr>
        <w:pStyle w:val="Compact"/>
      </w:pPr>
      <w:r>
        <w:rPr>
          <w:bCs/>
          <w:b/>
        </w:rPr>
        <w:t xml:space="preserve">Total Transport Emissions (Scope 3) = 0.114 + 0.338 = 0.45 kg CO2e</w:t>
      </w:r>
    </w:p>
    <w:bookmarkEnd w:id="35"/>
    <w:bookmarkStart w:id="36" w:name="Xa766405037aeee662637ff5823545ad106063b8"/>
    <w:p>
      <w:pPr>
        <w:pStyle w:val="Heading4"/>
      </w:pPr>
      <w:r>
        <w:t xml:space="preserve">D. Use Phase (Scope 3, Category 11: Use of Sold Products)</w:t>
      </w:r>
    </w:p>
    <w:p>
      <w:pPr>
        <w:numPr>
          <w:ilvl w:val="0"/>
          <w:numId w:val="1014"/>
        </w:numPr>
        <w:pStyle w:val="Compact"/>
      </w:pPr>
      <w:r>
        <w:t xml:space="preserve">Product Lifespan: 3 years (`jqwdgvwydw`)</w:t>
      </w:r>
    </w:p>
    <w:p>
      <w:pPr>
        <w:numPr>
          <w:ilvl w:val="0"/>
          <w:numId w:val="1014"/>
        </w:numPr>
        <w:pStyle w:val="Compact"/>
      </w:pPr>
      <w:r>
        <w:t xml:space="preserve">Energy Consumption in Use: 10 kWh/year (`qutzwyolrt`)</w:t>
      </w:r>
    </w:p>
    <w:p>
      <w:pPr>
        <w:numPr>
          <w:ilvl w:val="0"/>
          <w:numId w:val="1014"/>
        </w:numPr>
        <w:pStyle w:val="Compact"/>
      </w:pPr>
      <w:r>
        <w:t xml:space="preserve">Europe Grid Electricity Factor: 0.175 kg CO2e/kWh</w:t>
      </w:r>
    </w:p>
    <w:p>
      <w:pPr>
        <w:numPr>
          <w:ilvl w:val="0"/>
          <w:numId w:val="1014"/>
        </w:numPr>
        <w:pStyle w:val="Compact"/>
      </w:pPr>
      <w:r>
        <w:t xml:space="preserve">Total Use Phase Energy: 10 kWh/year * 3 years = 30 kWh</w:t>
      </w:r>
    </w:p>
    <w:p>
      <w:pPr>
        <w:numPr>
          <w:ilvl w:val="0"/>
          <w:numId w:val="1014"/>
        </w:numPr>
        <w:pStyle w:val="Compact"/>
      </w:pPr>
      <w:r>
        <w:rPr>
          <w:bCs/>
          <w:b/>
        </w:rPr>
        <w:t xml:space="preserve">Use Phase Emissions (Scope 3) = 30 kWh * 0.175 kg CO2e/kWh = 5.25 kg CO2e</w:t>
      </w:r>
    </w:p>
    <w:bookmarkEnd w:id="36"/>
    <w:bookmarkStart w:id="37" w:name="X04c46a8720c1ebd18cd9a1f06bf7540b94d2782"/>
    <w:p>
      <w:pPr>
        <w:pStyle w:val="Heading4"/>
      </w:pPr>
      <w:r>
        <w:t xml:space="preserve">E. End-of-Life (EoL) (Scope 3, Category 12: End-of-Life Treatment of Sold Products)</w:t>
      </w:r>
    </w:p>
    <w:p>
      <w:pPr>
        <w:numPr>
          <w:ilvl w:val="0"/>
          <w:numId w:val="1015"/>
        </w:numPr>
        <w:pStyle w:val="Compact"/>
      </w:pPr>
      <w:r>
        <w:t xml:space="preserve">Total Product Weight: 0.6 kg</w:t>
      </w:r>
    </w:p>
    <w:p>
      <w:pPr>
        <w:numPr>
          <w:ilvl w:val="0"/>
          <w:numId w:val="1015"/>
        </w:numPr>
        <w:pStyle w:val="Compact"/>
      </w:pPr>
      <w:r>
        <w:t xml:space="preserve">Recyclability Percentage: 70% (`mkgfkdlyju`)</w:t>
      </w:r>
    </w:p>
    <w:p>
      <w:pPr>
        <w:numPr>
          <w:ilvl w:val="0"/>
          <w:numId w:val="1015"/>
        </w:numPr>
        <w:pStyle w:val="Compact"/>
      </w:pPr>
      <w:r>
        <w:t xml:space="preserve">Non-recycled portion: 0.6 kg * (1 - 0.70) = 0.18 kg</w:t>
      </w:r>
    </w:p>
    <w:p>
      <w:pPr>
        <w:numPr>
          <w:ilvl w:val="0"/>
          <w:numId w:val="1015"/>
        </w:numPr>
        <w:pStyle w:val="Compact"/>
      </w:pPr>
      <w:r>
        <w:t xml:space="preserve">EoL Emission Factor (non-recycled): 1.0 kg CO2e/kg (illustrative for mixed waste)</w:t>
      </w:r>
    </w:p>
    <w:p>
      <w:pPr>
        <w:numPr>
          <w:ilvl w:val="0"/>
          <w:numId w:val="1015"/>
        </w:numPr>
        <w:pStyle w:val="Compact"/>
      </w:pPr>
      <w:r>
        <w:rPr>
          <w:bCs/>
          <w:b/>
        </w:rPr>
        <w:t xml:space="preserve">EoL Emissions (Scope 3) = 0.18 kg * 1.0 kg CO2e/kg = 0.18 kg CO2e</w:t>
      </w:r>
    </w:p>
    <w:p>
      <w:pPr>
        <w:numPr>
          <w:ilvl w:val="0"/>
          <w:numId w:val="1015"/>
        </w:numPr>
        <w:pStyle w:val="Compact"/>
      </w:pPr>
      <w:r>
        <w:t xml:space="preserve">The circular/take-back program (`oikseimuoo`) aims to recover products for refurbishment or recycling, potentially reducing the overall EoL impact further by diverting materials from landfill and incineration. This is captured in the high recyclability percentage and the qualitative benefit of the program.</w:t>
      </w:r>
    </w:p>
    <w:bookmarkEnd w:id="37"/>
    <w:bookmarkEnd w:id="38"/>
    <w:bookmarkStart w:id="39" w:name="summary-of-product-carbon-footprint-pcf"/>
    <w:p>
      <w:pPr>
        <w:pStyle w:val="Heading3"/>
      </w:pPr>
      <w:r>
        <w:t xml:space="preserve">Summary of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3.99</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1.86</w:t>
            </w:r>
          </w:p>
        </w:tc>
      </w:tr>
      <w:tr>
        <w:tc>
          <w:tcPr/>
          <w:p>
            <w:pPr>
              <w:pStyle w:val="Compact"/>
              <w:jc w:val="left"/>
            </w:pPr>
            <w:r>
              <w:t xml:space="preserve">Transportation &amp; Distribution</w:t>
            </w:r>
          </w:p>
        </w:tc>
        <w:tc>
          <w:tcPr/>
          <w:p>
            <w:pPr>
              <w:pStyle w:val="Compact"/>
              <w:jc w:val="left"/>
            </w:pPr>
            <w:r>
              <w:t xml:space="preserve">Scope 3 (Cat. 4 &amp; 9)</w:t>
            </w:r>
          </w:p>
        </w:tc>
        <w:tc>
          <w:tcPr/>
          <w:p>
            <w:pPr>
              <w:pStyle w:val="Compact"/>
              <w:jc w:val="left"/>
            </w:pPr>
            <w:r>
              <w:t xml:space="preserve">0.45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5.25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0.18</w:t>
            </w:r>
          </w:p>
        </w:tc>
      </w:tr>
      <w:tr>
        <w:tc>
          <w:tcPr>
            <w:gridSpan w:val="2"/>
          </w:tcPr>
          <w:p>
            <w:pPr>
              <w:pStyle w:val="Compact"/>
              <w:jc w:val="right"/>
            </w:pPr>
            <w:r>
              <w:t xml:space="preserve">Total Product Carbon Footprint (PCF):</w:t>
            </w:r>
          </w:p>
        </w:tc>
        <w:tc>
          <w:tcPr/>
          <w:p>
            <w:pPr>
              <w:pStyle w:val="Compact"/>
              <w:jc w:val="left"/>
            </w:pPr>
            <w:r>
              <w:rPr>
                <w:bCs/>
                <w:b/>
              </w:rPr>
              <w:t xml:space="preserve">11.73 kg CO2e</w:t>
            </w:r>
          </w:p>
        </w:tc>
      </w:tr>
    </w:tbl>
    <w:bookmarkEnd w:id="39"/>
    <w:bookmarkStart w:id="40" w:name="breakdown-by-ghg-scope"/>
    <w:p>
      <w:pPr>
        <w:pStyle w:val="Heading3"/>
      </w:pPr>
      <w:r>
        <w:t xml:space="preserve">Breakdown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1.86</w:t>
            </w:r>
          </w:p>
        </w:tc>
        <w:tc>
          <w:tcPr/>
          <w:p>
            <w:pPr>
              <w:pStyle w:val="Compact"/>
              <w:jc w:val="left"/>
            </w:pPr>
            <w:r>
              <w:t xml:space="preserve">15.8%</w:t>
            </w:r>
          </w:p>
        </w:tc>
      </w:tr>
      <w:tr>
        <w:tc>
          <w:tcPr/>
          <w:p>
            <w:pPr>
              <w:pStyle w:val="Compact"/>
              <w:jc w:val="left"/>
            </w:pPr>
            <w:r>
              <w:t xml:space="preserve">Scope 3 (Value Chain)</w:t>
            </w:r>
          </w:p>
        </w:tc>
        <w:tc>
          <w:tcPr/>
          <w:p>
            <w:pPr>
              <w:pStyle w:val="Compact"/>
              <w:jc w:val="left"/>
            </w:pPr>
            <w:r>
              <w:t xml:space="preserve">9.87</w:t>
            </w:r>
          </w:p>
        </w:tc>
        <w:tc>
          <w:tcPr/>
          <w:p>
            <w:pPr>
              <w:pStyle w:val="Compact"/>
              <w:jc w:val="left"/>
            </w:pPr>
            <w:r>
              <w:t xml:space="preserve">84.2%</w:t>
            </w:r>
          </w:p>
        </w:tc>
      </w:tr>
      <w:tr>
        <w:tc>
          <w:tcPr>
            <w:gridSpan w:val="2"/>
          </w:tcPr>
          <w:p>
            <w:pPr>
              <w:pStyle w:val="Compact"/>
              <w:jc w:val="right"/>
            </w:pPr>
            <w:r>
              <w:t xml:space="preserve">Total PCF:</w:t>
            </w:r>
          </w:p>
        </w:tc>
        <w:tc>
          <w:tcPr/>
          <w:p>
            <w:pPr>
              <w:pStyle w:val="Compact"/>
              <w:jc w:val="left"/>
            </w:pPr>
            <w:r>
              <w:rPr>
                <w:bCs/>
                <w:b/>
              </w:rPr>
              <w:t xml:space="preserve">11.73 kg CO2e</w:t>
            </w:r>
          </w:p>
        </w:tc>
      </w:tr>
    </w:tbl>
    <w:bookmarkEnd w:id="40"/>
    <w:bookmarkStart w:id="41" w:name="lsr-update-scope-3-compliance"/>
    <w:p>
      <w:pPr>
        <w:pStyle w:val="Heading3"/>
      </w:pPr>
      <w:r>
        <w:t xml:space="preserve">2026 LSR Update &amp; Scope 3 Compliance</w:t>
      </w:r>
    </w:p>
    <w:p>
      <w:pPr>
        <w:pStyle w:val="FirstParagraph"/>
      </w:pPr>
      <w:r>
        <w:t xml:space="preserve">The GHG Protocol\'s Land Sector and Removals (LSR) Standard was released on January 30, 2026, and is set to be effective from January 1, 2027. While direct land use impacts for a smart home device are typically low, if xqxxqneunh incorporates bio-based materials or its supply chain involves significant land-use change (e.g., for packaging materials or specific components), these would be assessed against the LSR Standard once it becomes mandatory. This report acknowledges its future relevance. The updated 2026 GHG Protocol requirements emphasize a 95% coverage for Scope 3 emissions. This analysis endeavors to achieve this by encompassing all material Scope 3 categories: Purchased Goods and Services (materials), Upstream and Downstream Transportation, Use of Sold Products, and End-of-Life Treatment of Sold Products. The calculated footprint provides a comprehensive estimate of value chain emissions, aiming for the mandated coverage threshold.</w:t>
      </w:r>
    </w:p>
    <w:bookmarkEnd w:id="41"/>
    <w:bookmarkEnd w:id="42"/>
    <w:p>
      <w:r>
        <w:pict>
          <v:rect style="width:0;height:1.5pt" o:hralign="center" o:hrstd="t" o:hr="t"/>
        </w:pict>
      </w:r>
    </w:p>
    <w:bookmarkStart w:id="46" w:name="review-report"/>
    <w:p>
      <w:pPr>
        <w:pStyle w:val="Heading2"/>
      </w:pPr>
      <w:r>
        <w:t xml:space="preserve">5. Review &amp; Report</w:t>
      </w:r>
    </w:p>
    <w:p>
      <w:pPr>
        <w:pStyle w:val="FirstParagraph"/>
      </w:pPr>
      <w:r>
        <w:t xml:space="preserve">This final stage identifies emissions hotspots, assesses data reliability, and provides actionable insights.</w:t>
      </w:r>
    </w:p>
    <w:bookmarkStart w:id="43" w:name="hotspots-identification"/>
    <w:p>
      <w:pPr>
        <w:pStyle w:val="Heading3"/>
      </w:pPr>
      <w:r>
        <w:t xml:space="preserve">Hotspots Identification</w:t>
      </w:r>
    </w:p>
    <w:p>
      <w:pPr>
        <w:pStyle w:val="FirstParagraph"/>
      </w:pPr>
      <w:r>
        <w:t xml:space="preserve">The analysis reveals the following major emission hotspots for xqxxqneunh:</w:t>
      </w:r>
    </w:p>
    <w:p>
      <w:pPr>
        <w:numPr>
          <w:ilvl w:val="0"/>
          <w:numId w:val="1016"/>
        </w:numPr>
        <w:pStyle w:val="Compact"/>
      </w:pPr>
      <w:r>
        <w:rPr>
          <w:bCs/>
          <w:b/>
        </w:rPr>
        <w:t xml:space="preserve">Use Phase (5.25 kg CO2e - 44.7%):</w:t>
      </w:r>
      <w:r>
        <w:t xml:space="preserve"> </w:t>
      </w:r>
      <w:r>
        <w:t xml:space="preserve">This is the dominant contributor to the PCF, primarily due to the product\'s energy consumption over its 3-year lifespan and the carbon intensity of the European electricity grid.</w:t>
      </w:r>
    </w:p>
    <w:p>
      <w:pPr>
        <w:numPr>
          <w:ilvl w:val="0"/>
          <w:numId w:val="1016"/>
        </w:numPr>
        <w:pStyle w:val="Compact"/>
      </w:pPr>
      <w:r>
        <w:rPr>
          <w:bCs/>
          <w:b/>
        </w:rPr>
        <w:t xml:space="preserve">Materials Acquisition &amp; Pre-processing (3.99 kg CO2e - 34.0%):</w:t>
      </w:r>
      <w:r>
        <w:t xml:space="preserve"> </w:t>
      </w:r>
      <w:r>
        <w:t xml:space="preserve">The production of materials, particularly the Li-ion battery and Printed Circuit Board, represents a significant upstream impact.</w:t>
      </w:r>
    </w:p>
    <w:p>
      <w:pPr>
        <w:numPr>
          <w:ilvl w:val="0"/>
          <w:numId w:val="1016"/>
        </w:numPr>
        <w:pStyle w:val="Compact"/>
      </w:pPr>
      <w:r>
        <w:rPr>
          <w:bCs/>
          <w:b/>
        </w:rPr>
        <w:t xml:space="preserve">Production Phase (1.86 kg CO2e - 15.8%):</w:t>
      </w:r>
      <w:r>
        <w:t xml:space="preserve"> </w:t>
      </w:r>
      <w:r>
        <w:t xml:space="preserve">Purchased electricity for manufacturing in China contributes substantially, despite 40% renewable energy usage. The remaining 60% from the grid still carries a notable footprint.</w:t>
      </w:r>
    </w:p>
    <w:bookmarkEnd w:id="43"/>
    <w:bookmarkStart w:id="44" w:name="reliability-and-limitations"/>
    <w:p>
      <w:pPr>
        <w:pStyle w:val="Heading3"/>
      </w:pPr>
      <w:r>
        <w:t xml:space="preserve">Reliability and Limitations</w:t>
      </w:r>
    </w:p>
    <w:p>
      <w:pPr>
        <w:pStyle w:val="FirstParagraph"/>
      </w:pPr>
      <w:r>
        <w:t xml:space="preserve">The reliability of this report is high, given its adherence to the GHG Protocol methodology. However, due to the nature of the provided input parameters (placeholders requiring illustrative data), certain limitations exist:</w:t>
      </w:r>
    </w:p>
    <w:p>
      <w:pPr>
        <w:numPr>
          <w:ilvl w:val="0"/>
          <w:numId w:val="1017"/>
        </w:numPr>
        <w:pStyle w:val="Compact"/>
      </w:pPr>
      <w:r>
        <w:rPr>
          <w:bCs/>
          <w:b/>
        </w:rPr>
        <w:t xml:space="preserve">Illustrative Data:</w:t>
      </w:r>
      <w:r>
        <w:t xml:space="preserve"> </w:t>
      </w:r>
      <w:r>
        <w:t xml:space="preserve">Emission factors, transport distances, and other numerical inputs for parameters like BOM, transport, and energy are illustrative examples based on common industry data (e.g., Ecoinvent, DEFRA) rather than primary, company-specific data for ifxqliskqn. This introduces uncertainty, though care was taken to use plausible figures.</w:t>
      </w:r>
    </w:p>
    <w:p>
      <w:pPr>
        <w:numPr>
          <w:ilvl w:val="0"/>
          <w:numId w:val="1017"/>
        </w:numPr>
        <w:pStyle w:val="Compact"/>
      </w:pPr>
      <w:r>
        <w:rPr>
          <w:bCs/>
          <w:b/>
        </w:rPr>
        <w:t xml:space="preserve">Allocation Assumptions:</w:t>
      </w:r>
      <w:r>
        <w:t xml:space="preserve"> </w:t>
      </w:r>
      <w:r>
        <w:t xml:space="preserve">Generic allocation rules were applied where specific process details were not provided.</w:t>
      </w:r>
    </w:p>
    <w:p>
      <w:pPr>
        <w:numPr>
          <w:ilvl w:val="0"/>
          <w:numId w:val="1017"/>
        </w:numPr>
        <w:pStyle w:val="Compact"/>
      </w:pPr>
      <w:r>
        <w:rPr>
          <w:bCs/>
          <w:b/>
        </w:rPr>
        <w:t xml:space="preserve">LSR Standard:</w:t>
      </w:r>
      <w:r>
        <w:t xml:space="preserve"> </w:t>
      </w:r>
      <w:r>
        <w:t xml:space="preserve">While acknowledged, specific quantification against the 2026 LSR Standard for land-related emissions was not performed due to the lack of direct land-use data for xqxxqneunh, and its effective date being post-report generation.</w:t>
      </w:r>
    </w:p>
    <w:p>
      <w:pPr>
        <w:numPr>
          <w:ilvl w:val="0"/>
          <w:numId w:val="1017"/>
        </w:numPr>
        <w:pStyle w:val="Compact"/>
      </w:pPr>
      <w:r>
        <w:rPr>
          <w:bCs/>
          <w:b/>
        </w:rPr>
        <w:t xml:space="preserve">Scope 3 Data Quality:</w:t>
      </w:r>
      <w:r>
        <w:t xml:space="preserve"> </w:t>
      </w:r>
      <w:r>
        <w:t xml:space="preserve">As per proposed 2026 GHG Protocol updates, detailed disaggregation of Scope 3 emissions by data type (primary, spend-based, industry average) would be required for full compliance. This illustrative report uses a mix of assumed industry-average factors.</w:t>
      </w:r>
    </w:p>
    <w:bookmarkEnd w:id="44"/>
    <w:bookmarkStart w:id="45" w:name="recommendations"/>
    <w:p>
      <w:pPr>
        <w:pStyle w:val="Heading3"/>
      </w:pPr>
      <w:r>
        <w:t xml:space="preserve">Recommendations</w:t>
      </w:r>
    </w:p>
    <w:p>
      <w:pPr>
        <w:pStyle w:val="FirstParagraph"/>
      </w:pPr>
      <w:r>
        <w:t xml:space="preserve">Based on the identified hotspots, ifxqliskqn should focus on the following strategies to reduce the PCF of xqxxqneunh:</w:t>
      </w:r>
    </w:p>
    <w:p>
      <w:pPr>
        <w:numPr>
          <w:ilvl w:val="0"/>
          <w:numId w:val="1018"/>
        </w:numPr>
        <w:pStyle w:val="Compact"/>
      </w:pPr>
      <w:r>
        <w:rPr>
          <w:bCs/>
          <w:b/>
        </w:rPr>
        <w:t xml:space="preserve">Optimize Use Phase Efficiency:</w:t>
      </w:r>
      <w:r>
        <w:t xml:space="preserve"> </w:t>
      </w:r>
      <w:r>
        <w:t xml:space="preserve">Invest in R&amp;D to further reduce the energy consumption of xqxxqneunh during its operational lifespan. This is the largest hotspot and offers significant reduction potential.</w:t>
      </w:r>
    </w:p>
    <w:p>
      <w:pPr>
        <w:numPr>
          <w:ilvl w:val="0"/>
          <w:numId w:val="1018"/>
        </w:numPr>
        <w:pStyle w:val="Compact"/>
      </w:pPr>
      <w:r>
        <w:rPr>
          <w:bCs/>
          <w:b/>
        </w:rPr>
        <w:t xml:space="preserve">Decarbonize Supply Chain for Materials:</w:t>
      </w:r>
      <w:r>
        <w:t xml:space="preserve"> </w:t>
      </w:r>
      <w:r>
        <w:t xml:space="preserve">Engage with suppliers of high-impact components (e.g., Li-ion batteries, PCBs, aluminum) to source lower-carbon alternatives or encourage suppliers to adopt renewable energy and more efficient manufacturing processes.</w:t>
      </w:r>
    </w:p>
    <w:p>
      <w:pPr>
        <w:numPr>
          <w:ilvl w:val="0"/>
          <w:numId w:val="1018"/>
        </w:numPr>
        <w:pStyle w:val="Compact"/>
      </w:pPr>
      <w:r>
        <w:rPr>
          <w:bCs/>
          <w:b/>
        </w:rPr>
        <w:t xml:space="preserve">Increase Renewable Energy Sourcing:</w:t>
      </w:r>
      <w:r>
        <w:t xml:space="preserve"> </w:t>
      </w:r>
      <w:r>
        <w:t xml:space="preserve">Explore increasing the renewable energy percentage at the China manufacturing facility beyond 40% to further reduce Scope 2 emissions. This could involve direct renewable energy procurement or investments in off-site renewable energy projects.</w:t>
      </w:r>
    </w:p>
    <w:p>
      <w:pPr>
        <w:numPr>
          <w:ilvl w:val="0"/>
          <w:numId w:val="1018"/>
        </w:numPr>
        <w:pStyle w:val="Compact"/>
      </w:pPr>
      <w:r>
        <w:rPr>
          <w:bCs/>
          <w:b/>
        </w:rPr>
        <w:t xml:space="preserve">Enhance Circularity:</w:t>
      </w:r>
      <w:r>
        <w:t xml:space="preserve"> </w:t>
      </w:r>
      <w:r>
        <w:t xml:space="preserve">Leverage the existing take-back program to maximize material recovery for refurbishment and closed-loop recycling, potentially exploring innovative material recovery technologies.</w:t>
      </w:r>
    </w:p>
    <w:p>
      <w:pPr>
        <w:numPr>
          <w:ilvl w:val="0"/>
          <w:numId w:val="1018"/>
        </w:numPr>
        <w:pStyle w:val="Compact"/>
      </w:pPr>
      <w:r>
        <w:rPr>
          <w:bCs/>
          <w:b/>
        </w:rPr>
        <w:t xml:space="preserve">Data Improvement:</w:t>
      </w:r>
      <w:r>
        <w:t xml:space="preserve"> </w:t>
      </w:r>
      <w:r>
        <w:t xml:space="preserve">For future iterations, gather more primary data from suppliers (e.g., actual material-specific emission factors, exact transport routes and modes, operational energy consumption) to enhance the accuracy and robustness of the PCF.</w:t>
      </w:r>
    </w:p>
    <w:bookmarkEnd w:id="45"/>
    <w:bookmarkEnd w:id="46"/>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xqxxqneunh</dc:title>
  <dc:creator/>
  <dc:description>High-detail Product Carbon Footprint (PCF) analysis report for xqxxqneunh by npqwgurwxm, Senior Sustainability Consultant at ifxqliskqn, adhering to GHG Protocol and 2026 LSR updates.</dc:description>
  <dc:language>en</dc:language>
  <cp:keywords/>
  <dcterms:created xsi:type="dcterms:W3CDTF">2026-07-15T05:36:19Z</dcterms:created>
  <dcterms:modified xsi:type="dcterms:W3CDTF">2026-07-15T05:36:19Z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