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xprdssddym</w:t>
      </w:r>
    </w:p>
    <w:bookmarkStart w:id="20" w:name="carboncalcpcf.com"/>
    <w:p>
      <w:pPr>
        <w:pStyle w:val="Heading1"/>
      </w:pPr>
      <w:r>
        <w:t xml:space="preserve">carboncalcpcf.com</w:t>
      </w:r>
    </w:p>
    <w:p>
      <w:pPr>
        <w:pStyle w:val="FirstParagraph"/>
      </w:pPr>
      <w:r>
        <w:t xml:space="preserve">Product Carbon Footprint Report</w:t>
      </w:r>
    </w:p>
    <w:bookmarkEnd w:id="20"/>
    <w:bookmarkStart w:id="21" w:name="xprdssddym"/>
    <w:p>
      <w:pPr>
        <w:pStyle w:val="Heading1"/>
      </w:pPr>
      <w:r>
        <w:t xml:space="preserve">xprdssddym</w:t>
      </w:r>
    </w:p>
    <w:p>
      <w:pPr>
        <w:pStyle w:val="FirstParagraph"/>
      </w:pPr>
      <w:r>
        <w:rPr>
          <w:bCs/>
          <w:b/>
        </w:rPr>
        <w:t xml:space="preserve">Company Name:</w:t>
      </w:r>
      <w:r>
        <w:t xml:space="preserve"> </w:t>
      </w:r>
      <w:r>
        <w:t xml:space="preserve">hidlkjpwht</w:t>
      </w:r>
    </w:p>
    <w:p>
      <w:pPr>
        <w:pStyle w:val="BodyText"/>
      </w:pPr>
      <w:r>
        <w:rPr>
          <w:bCs/>
          <w:b/>
        </w:rPr>
        <w:t xml:space="preserve">Senior Sustainability Consultant:</w:t>
      </w:r>
      <w:r>
        <w:t xml:space="preserve"> </w:t>
      </w:r>
      <w:r>
        <w:t xml:space="preserve">ittztdjddk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calculations relies on the quality and completeness of the provided input parameters</w:t>
      </w:r>
      <w:r>
        <w:t xml:space="preserve"> </w:t>
      </w:r>
      <w:r>
        <w:t xml:space="preserve">and the assumed industry-average emission factors where specific data was not available.</w:t>
      </w:r>
    </w:p>
    <w:bookmarkEnd w:id="21"/>
    <w:bookmarkStart w:id="23" w:name="Xa0a542f7f4bb25d8f934ceb6eb514475010a4f3"/>
    <w:p>
      <w:pPr>
        <w:pStyle w:val="Heading1"/>
      </w:pPr>
      <w:r>
        <w:t xml:space="preserve">Product Carbon Footprint Analysis Report: xprdssddym</w:t>
      </w:r>
    </w:p>
    <w:p>
      <w:pPr>
        <w:pStyle w:val="FirstParagraph"/>
      </w:pPr>
      <w:r>
        <w:t xml:space="preserve">Generated Date:</w:t>
      </w:r>
      <w:r>
        <w:t xml:space="preserve"> </w:t>
      </w:r>
      <w:bookmarkStart w:id="22" w:name="generated-date"/>
      <w:bookmarkEnd w:id="22"/>
    </w:p>
    <w:p>
      <w:r>
        <w:pict>
          <v:rect style="width:0;height:1.5pt" o:hralign="center" o:hrstd="t" o:hr="t"/>
        </w:pict>
      </w:r>
    </w:p>
    <w:bookmarkEnd w:id="23"/>
    <w:bookmarkStart w:id="24"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xprdssddym</w:t>
      </w:r>
      <w:r>
        <w:t xml:space="preserve">,</w:t>
      </w:r>
      <w:r>
        <w:t xml:space="preserve"> </w:t>
      </w:r>
      <w:r>
        <w:t xml:space="preserve">manufactured by</w:t>
      </w:r>
      <w:r>
        <w:t xml:space="preserve"> </w:t>
      </w:r>
      <w:r>
        <w:rPr>
          <w:bCs/>
          <w:b/>
        </w:rPr>
        <w:t xml:space="preserve">hidlkjpwht</w:t>
      </w:r>
      <w:r>
        <w:t xml:space="preserve">. The analysis was conducted by Senior Sustainability Consultant</w:t>
      </w:r>
      <w:r>
        <w:t xml:space="preserve"> </w:t>
      </w:r>
      <w:r>
        <w:rPr>
          <w:bCs/>
          <w:b/>
        </w:rPr>
        <w:t xml:space="preserve">ittztdjddk</w:t>
      </w:r>
      <w:r>
        <w:t xml:space="preserve">, specializing in the GHG Protocol. The primary objective was to quantify the greenhouse gas (GHG)</w:t>
      </w:r>
      <w:r>
        <w:t xml:space="preserve"> </w:t>
      </w:r>
      <w:r>
        <w:t xml:space="preserve">emissions associated with the product across its lifecycle, from raw material extraction to end-of-life,</w:t>
      </w:r>
      <w:r>
        <w:t xml:space="preserve"> </w:t>
      </w:r>
      <w:r>
        <w:t xml:space="preserve">adhering to the GHG Protocol\'s accounting standards and the 2026 Land Sector and Removals (LSR) Update.</w:t>
      </w:r>
      <w:r>
        <w:t xml:space="preserve"> </w:t>
      </w:r>
      <w:r>
        <w:t xml:space="preserve">The total Product Carbon Footprint for one functional unit of xprdssddym is calculated to be</w:t>
      </w:r>
      <w:r>
        <w:t xml:space="preserve"> </w:t>
      </w:r>
      <w:r>
        <w:rPr>
          <w:bCs/>
          <w:b/>
        </w:rPr>
        <w:t xml:space="preserve">29.96 kg CO2e</w:t>
      </w:r>
      <w:r>
        <w:t xml:space="preserve">. Hotspots were identified primarily in material acquisition and the use phase, with</w:t>
      </w:r>
      <w:r>
        <w:t xml:space="preserve"> </w:t>
      </w:r>
      <w:r>
        <w:t xml:space="preserve">significant avoided emissions from end-of-life recycling.</w:t>
      </w:r>
    </w:p>
    <w:p>
      <w:r>
        <w:pict>
          <v:rect style="width:0;height:1.5pt" o:hralign="center" o:hrstd="t" o:hr="t"/>
        </w:pict>
      </w:r>
    </w:p>
    <w:bookmarkEnd w:id="24"/>
    <w:bookmarkStart w:id="26" w:name="methodology-and-scope-definition"/>
    <w:p>
      <w:pPr>
        <w:pStyle w:val="Heading2"/>
      </w:pPr>
      <w:r>
        <w:t xml:space="preserve">2. Methodology and Scope Definition</w:t>
      </w:r>
    </w:p>
    <w:p>
      <w:pPr>
        <w:pStyle w:val="FirstParagraph"/>
      </w:pPr>
      <w:r>
        <w:t xml:space="preserve">The Product Carbon Footprint (PCF) analysis followed the five-step methodology recommended for GHG Protocol compliance:</w:t>
      </w:r>
      <w:r>
        <w:t xml:space="preserve"> </w:t>
      </w:r>
      <w:r>
        <w:t xml:space="preserve">Define Scope, Map Lifecycle, Collect Data, Calculate Emissions, and Review &amp; Report.</w:t>
      </w:r>
    </w:p>
    <w:bookmarkStart w:id="25" w:name="scope-definition"/>
    <w:p>
      <w:pPr>
        <w:pStyle w:val="Heading3"/>
      </w:pPr>
      <w:r>
        <w:t xml:space="preserve">2.1. Scope Definition</w:t>
      </w:r>
    </w:p>
    <w:p>
      <w:pPr>
        <w:numPr>
          <w:ilvl w:val="0"/>
          <w:numId w:val="1001"/>
        </w:numPr>
        <w:pStyle w:val="Compact"/>
      </w:pPr>
      <w:r>
        <w:rPr>
          <w:bCs/>
          <w:b/>
        </w:rPr>
        <w:t xml:space="preserve">Functional Unit:</w:t>
      </w:r>
      <w:r>
        <w:t xml:space="preserve"> </w:t>
      </w:r>
      <w:r>
        <w:t xml:space="preserve">The analysis is based on one (1.0) unit of product</w:t>
      </w:r>
      <w:r>
        <w:t xml:space="preserve"> </w:t>
      </w:r>
      <w:r>
        <w:rPr>
          <w:bCs/>
          <w:b/>
        </w:rPr>
        <w:t xml:space="preserve">xprdssddym</w:t>
      </w:r>
      <w:r>
        <w:t xml:space="preserve">.</w:t>
      </w:r>
    </w:p>
    <w:p>
      <w:pPr>
        <w:numPr>
          <w:ilvl w:val="0"/>
          <w:numId w:val="1001"/>
        </w:numPr>
        <w:pStyle w:val="Compact"/>
      </w:pPr>
      <w:r>
        <w:rPr>
          <w:bCs/>
          <w:b/>
        </w:rPr>
        <w:t xml:space="preserve">System Boundary:</w:t>
      </w:r>
      <w:r>
        <w:t xml:space="preserve"> </w:t>
      </w:r>
      <w:r>
        <w:t xml:space="preserve">A \'factory_gate\' system boundary was applied. This includes emissions from raw material extraction, manufacturing processes, and transportation up to the point the product leaves the factory gate. For comprehensive lifecycle understanding as per GHG Protocol Scope 3 requirements, downstream elements like the use phase and end-of-life are also evaluated.</w:t>
      </w:r>
    </w:p>
    <w:p>
      <w:pPr>
        <w:numPr>
          <w:ilvl w:val="0"/>
          <w:numId w:val="1001"/>
        </w:numPr>
        <w:pStyle w:val="Compact"/>
      </w:pPr>
      <w:r>
        <w:rPr>
          <w:bCs/>
          <w:b/>
        </w:rPr>
        <w:t xml:space="preserve">Geographic Scope:</w:t>
      </w:r>
      <w:r>
        <w:t xml:space="preserve"> </w:t>
      </w:r>
      <w:r>
        <w:t xml:space="preserve">The final production country is China, with a supply chain focus on Europe.</w:t>
      </w:r>
    </w:p>
    <w:p>
      <w:pPr>
        <w:numPr>
          <w:ilvl w:val="0"/>
          <w:numId w:val="1001"/>
        </w:numPr>
        <w:pStyle w:val="Compact"/>
      </w:pPr>
      <w:r>
        <w:rPr>
          <w:bCs/>
          <w:b/>
        </w:rPr>
        <w:t xml:space="preserve">Accounting Standard:</w:t>
      </w:r>
      <w:r>
        <w:t xml:space="preserve"> </w:t>
      </w:r>
      <w:r>
        <w:t xml:space="preserve">The analysis rigorously adheres to the</w:t>
      </w:r>
      <w:r>
        <w:t xml:space="preserve"> </w:t>
      </w:r>
      <w:r>
        <w:rPr>
          <w:bCs/>
          <w:b/>
        </w:rPr>
        <w:t xml:space="preserve">GHG Protocol</w:t>
      </w:r>
      <w:r>
        <w:t xml:space="preserve">. Emissions are categorized into Scope 1 (direct emissions), Scope 2 (purchased energy emissions), and Scope 3 (value chain emissions). The 2026 Land Sector and Removals (LSR) Standard update has been considered for land use and carbon removals, acknowledging its applicability to relevant material categories.</w:t>
      </w:r>
    </w:p>
    <w:p>
      <w:pPr>
        <w:numPr>
          <w:ilvl w:val="0"/>
          <w:numId w:val="1001"/>
        </w:numPr>
        <w:pStyle w:val="Compact"/>
      </w:pPr>
      <w:r>
        <w:rPr>
          <w:bCs/>
          <w:b/>
        </w:rPr>
        <w:t xml:space="preserve">Allocation:</w:t>
      </w:r>
      <w:r>
        <w:t xml:space="preserve"> </w:t>
      </w:r>
      <w:r>
        <w:t xml:space="preserve">A mass-based allocation approach was implicitly used for multi-component products, with primary data provided for individual bill of materials items.</w:t>
      </w:r>
    </w:p>
    <w:p>
      <w:r>
        <w:pict>
          <v:rect style="width:0;height:1.5pt" o:hralign="center" o:hrstd="t" o:hr="t"/>
        </w:pict>
      </w:r>
    </w:p>
    <w:bookmarkEnd w:id="25"/>
    <w:bookmarkEnd w:id="26"/>
    <w:bookmarkStart w:id="32" w:name="X35745a8e252718d5a0d40cb3fbfce10aee0336d"/>
    <w:p>
      <w:pPr>
        <w:pStyle w:val="Heading2"/>
      </w:pPr>
      <w:r>
        <w:t xml:space="preserve">3. Lifecycle Mapping (LCI Inventory Stages) &amp; Data Collection</w:t>
      </w:r>
    </w:p>
    <w:p>
      <w:pPr>
        <w:pStyle w:val="FirstParagraph"/>
      </w:pPr>
      <w:r>
        <w:t xml:space="preserve">This section details the inputs and processes considered across the product\'s lifecycle stages, incorporating</w:t>
      </w:r>
      <w:r>
        <w:t xml:space="preserve"> </w:t>
      </w:r>
      <w:r>
        <w:t xml:space="preserve">the specific parameters provided.</w:t>
      </w:r>
    </w:p>
    <w:bookmarkStart w:id="27" w:name="Xe8ddf8d30863f7409d6fd4f9b3abb45fd392a9a"/>
    <w:p>
      <w:pPr>
        <w:pStyle w:val="Heading3"/>
      </w:pPr>
      <w:r>
        <w:t xml:space="preserve">3.1. Materials and Components (Scope 3, Category 1 - Purchased Goods &amp; Services)</w:t>
      </w:r>
    </w:p>
    <w:p>
      <w:pPr>
        <w:pStyle w:val="FirstParagraph"/>
      </w:pPr>
      <w:r>
        <w:t xml:space="preserve">The detailed Bill of Materials (BOM) for</w:t>
      </w:r>
      <w:r>
        <w:t xml:space="preserve"> </w:t>
      </w:r>
      <w:r>
        <w:rPr>
          <w:bCs/>
          <w:b/>
        </w:rPr>
        <w:t xml:space="preserve">vfzvxupr</w:t>
      </w:r>
      <w:r>
        <w:t xml:space="preserve"> </w:t>
      </w:r>
      <w:r>
        <w:t xml:space="preserve">was utilized for high-accuracy material impact calculation,</w:t>
      </w:r>
      <w:r>
        <w:t xml:space="preserve"> </w:t>
      </w:r>
      <w:r>
        <w:t xml:space="preserve">instead of default estimates. The \'Total Carbon\' values provided in the BOM were directly used for material emission quantification.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5.0</w:t>
            </w:r>
          </w:p>
        </w:tc>
        <w:tc>
          <w:tcPr/>
          <w:p>
            <w:pPr>
              <w:pStyle w:val="Compact"/>
              <w:jc w:val="left"/>
            </w:pPr>
            <w:r>
              <w:t xml:space="preserve">12.50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2.8</w:t>
            </w:r>
          </w:p>
        </w:tc>
        <w:tc>
          <w:tcPr/>
          <w:p>
            <w:pPr>
              <w:pStyle w:val="Compact"/>
              <w:jc w:val="left"/>
            </w:pPr>
            <w:r>
              <w:t xml:space="preserve">3.36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0.4</w:t>
            </w:r>
          </w:p>
        </w:tc>
        <w:tc>
          <w:tcPr/>
          <w:p>
            <w:pPr>
              <w:pStyle w:val="Compact"/>
              <w:jc w:val="left"/>
            </w:pPr>
            <w:r>
              <w:t xml:space="preserve">kg</w:t>
            </w:r>
          </w:p>
        </w:tc>
        <w:tc>
          <w:tcPr/>
          <w:p>
            <w:pPr>
              <w:pStyle w:val="Compact"/>
              <w:jc w:val="left"/>
            </w:pPr>
            <w:r>
              <w:t xml:space="preserve">15.0</w:t>
            </w:r>
          </w:p>
        </w:tc>
        <w:tc>
          <w:tcPr/>
          <w:p>
            <w:pPr>
              <w:pStyle w:val="Compact"/>
              <w:jc w:val="left"/>
            </w:pPr>
            <w:r>
              <w:t xml:space="preserve">6.00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Emissions:</w:t>
            </w:r>
          </w:p>
        </w:tc>
        <w:tc>
          <w:tcPr/>
          <w:p>
            <w:pPr>
              <w:pStyle w:val="Compact"/>
              <w:jc w:val="left"/>
            </w:pPr>
            <w:r>
              <w:rPr>
                <w:bCs/>
                <w:b/>
              </w:rPr>
              <w:t xml:space="preserve">28.30 kgCO2e</w:t>
            </w:r>
          </w:p>
        </w:tc>
      </w:tr>
    </w:tbl>
    <w:bookmarkEnd w:id="27"/>
    <w:bookmarkStart w:id="28" w:name="X312fd4cbdd9bd49bde63e3d311fabd8aae43a9a"/>
    <w:p>
      <w:pPr>
        <w:pStyle w:val="Heading3"/>
      </w:pPr>
      <w:r>
        <w:t xml:space="preserve">3.2. Transportation (Scope 3, Category 4 - Upstream &amp; Downstream Transportation and Distribution)</w:t>
      </w:r>
    </w:p>
    <w:p>
      <w:pPr>
        <w:pStyle w:val="FirstParagraph"/>
      </w:pPr>
      <w:r>
        <w:t xml:space="preserve">Specific logistics data was incorporated into the supply chain analysis.</w:t>
      </w:r>
    </w:p>
    <w:p>
      <w:pPr>
        <w:numPr>
          <w:ilvl w:val="0"/>
          <w:numId w:val="1002"/>
        </w:numPr>
        <w:pStyle w:val="Compact"/>
      </w:pPr>
      <w:r>
        <w:rPr>
          <w:bCs/>
          <w:b/>
        </w:rPr>
        <w:t xml:space="preserve">Transport Mode (as per parameter \'Select Mode\'):</w:t>
      </w:r>
      <w:r>
        <w:t xml:space="preserve"> </w:t>
      </w:r>
      <w:r>
        <w:t xml:space="preserve">Upstream materials are assumed to be transported via ocean freight to China. Last-mile delivery is assumed to be via road freight within Europe.</w:t>
      </w:r>
    </w:p>
    <w:p>
      <w:pPr>
        <w:numPr>
          <w:ilvl w:val="0"/>
          <w:numId w:val="1002"/>
        </w:numPr>
        <w:pStyle w:val="Compact"/>
      </w:pPr>
      <w:r>
        <w:rPr>
          <w:bCs/>
          <w:b/>
        </w:rPr>
        <w:t xml:space="preserve">Transport Distance (as per parameter \'xmpymrgeme\'):</w:t>
      </w:r>
    </w:p>
    <w:p>
      <w:pPr>
        <w:numPr>
          <w:ilvl w:val="1"/>
          <w:numId w:val="1003"/>
        </w:numPr>
        <w:pStyle w:val="Compact"/>
      </w:pPr>
      <w:r>
        <w:t xml:space="preserve">Upstream (Ocean Freight): Assumed 8,000 km (representative distance from Europe to China).</w:t>
      </w:r>
    </w:p>
    <w:p>
      <w:pPr>
        <w:numPr>
          <w:ilvl w:val="1"/>
          <w:numId w:val="1003"/>
        </w:numPr>
        <w:pStyle w:val="Compact"/>
      </w:pPr>
      <w:r>
        <w:t xml:space="preserve">Last-Mile (Road Freight): Assumed 500 km within Europe.</w:t>
      </w:r>
    </w:p>
    <w:p>
      <w:pPr>
        <w:numPr>
          <w:ilvl w:val="0"/>
          <w:numId w:val="1002"/>
        </w:numPr>
        <w:pStyle w:val="Compact"/>
      </w:pPr>
      <w:r>
        <w:rPr>
          <w:bCs/>
          <w:b/>
        </w:rPr>
        <w:t xml:space="preserve">Last-Mile Delivery Channel (as per parameter \'Delivery Type\'):</w:t>
      </w:r>
      <w:r>
        <w:t xml:space="preserve"> </w:t>
      </w:r>
      <w:r>
        <w:t xml:space="preserve">Road Freight (Parcel Service).</w:t>
      </w:r>
    </w:p>
    <w:p>
      <w:pPr>
        <w:numPr>
          <w:ilvl w:val="0"/>
          <w:numId w:val="1002"/>
        </w:numPr>
        <w:pStyle w:val="Compact"/>
      </w:pPr>
      <w:r>
        <w:rPr>
          <w:bCs/>
          <w:b/>
        </w:rPr>
        <w:t xml:space="preserve">Assumed Product Mass for Transport:</w:t>
      </w:r>
      <w:r>
        <w:t xml:space="preserve"> </w:t>
      </w:r>
      <w:r>
        <w:t xml:space="preserve">0.00475 tonnes (sum of BOM quantities) for upstream, 0.005 tonnes (product + packaging) for last-mile.</w:t>
      </w:r>
    </w:p>
    <w:bookmarkEnd w:id="28"/>
    <w:bookmarkStart w:id="29" w:name="Xef05e4511ad01d3908f681dbb06ba24b58f1b66"/>
    <w:p>
      <w:pPr>
        <w:pStyle w:val="Heading3"/>
      </w:pPr>
      <w:r>
        <w:t xml:space="preserve">3.3. Production Phase (Scope 2 - Purchased Electricity)</w:t>
      </w:r>
    </w:p>
    <w:p>
      <w:pPr>
        <w:pStyle w:val="FirstParagraph"/>
      </w:pPr>
      <w:r>
        <w:t xml:space="preserve">Energy customization data was used for the production phase footprint, located in China.</w:t>
      </w:r>
    </w:p>
    <w:p>
      <w:pPr>
        <w:numPr>
          <w:ilvl w:val="0"/>
          <w:numId w:val="1004"/>
        </w:numPr>
        <w:pStyle w:val="Compact"/>
      </w:pPr>
      <w:r>
        <w:rPr>
          <w:bCs/>
          <w:b/>
        </w:rPr>
        <w:t xml:space="preserve">Renewable Energy Usage (as per parameter \'msqgswoxzi\'):</w:t>
      </w:r>
      <w:r>
        <w:t xml:space="preserve"> </w:t>
      </w:r>
      <w:r>
        <w:t xml:space="preserve">75%</w:t>
      </w:r>
    </w:p>
    <w:p>
      <w:pPr>
        <w:numPr>
          <w:ilvl w:val="0"/>
          <w:numId w:val="1004"/>
        </w:numPr>
        <w:pStyle w:val="Compact"/>
      </w:pPr>
      <w:r>
        <w:rPr>
          <w:bCs/>
          <w:b/>
        </w:rPr>
        <w:t xml:space="preserve">Energy Intensity (kWh/unit) (as per parameter \'zqjlgeztss\'):</w:t>
      </w:r>
      <w:r>
        <w:t xml:space="preserve"> </w:t>
      </w:r>
      <w:r>
        <w:t xml:space="preserve">15 kWh/unit</w:t>
      </w:r>
    </w:p>
    <w:p>
      <w:pPr>
        <w:numPr>
          <w:ilvl w:val="0"/>
          <w:numId w:val="1004"/>
        </w:numPr>
        <w:pStyle w:val="Compact"/>
      </w:pPr>
      <w:r>
        <w:rPr>
          <w:bCs/>
          <w:b/>
        </w:rPr>
        <w:t xml:space="preserve">Assumed Electricity Grid Mix Emission Factor (China):</w:t>
      </w:r>
      <w:r>
        <w:t xml:space="preserve"> </w:t>
      </w:r>
      <w:r>
        <w:t xml:space="preserve">0.6 kg CO2e/kWh (based on industry averages and IEA data for China\'s grid mix).</w:t>
      </w:r>
    </w:p>
    <w:bookmarkEnd w:id="29"/>
    <w:bookmarkStart w:id="30" w:name="Xe72837a908ad344b018b3447ff671a3dec19470"/>
    <w:p>
      <w:pPr>
        <w:pStyle w:val="Heading3"/>
      </w:pPr>
      <w:r>
        <w:t xml:space="preserve">3.4. Use Phase (Scope 3, Category 11 - Use of Sold Products)</w:t>
      </w:r>
    </w:p>
    <w:p>
      <w:pPr>
        <w:pStyle w:val="FirstParagraph"/>
      </w:pPr>
      <w:r>
        <w:t xml:space="preserve">The \'Use Phase\' calculation was expanded using specific durability and consumption data.</w:t>
      </w:r>
    </w:p>
    <w:p>
      <w:pPr>
        <w:numPr>
          <w:ilvl w:val="0"/>
          <w:numId w:val="1005"/>
        </w:numPr>
        <w:pStyle w:val="Compact"/>
      </w:pPr>
      <w:r>
        <w:rPr>
          <w:bCs/>
          <w:b/>
        </w:rPr>
        <w:t xml:space="preserve">Product Lifespan (as per parameter \'udnetgzoqd\'):</w:t>
      </w:r>
      <w:r>
        <w:t xml:space="preserve"> </w:t>
      </w:r>
      <w:r>
        <w:t xml:space="preserve">5 years</w:t>
      </w:r>
    </w:p>
    <w:p>
      <w:pPr>
        <w:numPr>
          <w:ilvl w:val="0"/>
          <w:numId w:val="1005"/>
        </w:numPr>
        <w:pStyle w:val="Compact"/>
      </w:pPr>
      <w:r>
        <w:rPr>
          <w:bCs/>
          <w:b/>
        </w:rPr>
        <w:t xml:space="preserve">Energy Consumption in Use (as per parameter \'uihesghxgh\'):</w:t>
      </w:r>
      <w:r>
        <w:t xml:space="preserve"> </w:t>
      </w:r>
      <w:r>
        <w:t xml:space="preserve">10 kWh/year</w:t>
      </w:r>
    </w:p>
    <w:p>
      <w:pPr>
        <w:numPr>
          <w:ilvl w:val="0"/>
          <w:numId w:val="1005"/>
        </w:numPr>
        <w:pStyle w:val="Compact"/>
      </w:pPr>
      <w:r>
        <w:rPr>
          <w:bCs/>
          <w:b/>
        </w:rPr>
        <w:t xml:space="preserve">Assumed User Electricity Grid Mix Emission Factor (Global Average):</w:t>
      </w:r>
      <w:r>
        <w:t xml:space="preserve"> </w:t>
      </w:r>
      <w:r>
        <w:t xml:space="preserve">0.4 kg CO2e/kWh (representative global average).</w:t>
      </w:r>
    </w:p>
    <w:bookmarkEnd w:id="30"/>
    <w:bookmarkStart w:id="31" w:name="Xf14e5116da2ea1973e56f9fea508cdaa44f663b"/>
    <w:p>
      <w:pPr>
        <w:pStyle w:val="Heading3"/>
      </w:pPr>
      <w:r>
        <w:t xml:space="preserve">3.5. End-of-Life (EoL) Scenarios (Scope 3, Category 12 - End-of-Life Treatment of Sold Products)</w:t>
      </w:r>
    </w:p>
    <w:p>
      <w:pPr>
        <w:pStyle w:val="FirstParagraph"/>
      </w:pPr>
      <w:r>
        <w:t xml:space="preserve">End-of-Life scenarios were incorporated to reflect circular economy impacts.</w:t>
      </w:r>
    </w:p>
    <w:p>
      <w:pPr>
        <w:numPr>
          <w:ilvl w:val="0"/>
          <w:numId w:val="1006"/>
        </w:numPr>
        <w:pStyle w:val="Compact"/>
      </w:pPr>
      <w:r>
        <w:rPr>
          <w:bCs/>
          <w:b/>
        </w:rPr>
        <w:t xml:space="preserve">Recyclability Percentage (as per parameter \'nftssxfpir\'):</w:t>
      </w:r>
      <w:r>
        <w:t xml:space="preserve"> </w:t>
      </w:r>
      <w:r>
        <w:t xml:space="preserve">80%</w:t>
      </w:r>
    </w:p>
    <w:p>
      <w:pPr>
        <w:numPr>
          <w:ilvl w:val="0"/>
          <w:numId w:val="1006"/>
        </w:numPr>
        <w:pStyle w:val="Compact"/>
      </w:pPr>
      <w:r>
        <w:rPr>
          <w:bCs/>
          <w:b/>
        </w:rPr>
        <w:t xml:space="preserve">Circular/Take-back Programs (as per parameter \'pnpgjskpfk\'):</w:t>
      </w:r>
      <w:r>
        <w:t xml:space="preserve"> </w:t>
      </w:r>
      <w:r>
        <w:t xml:space="preserve">Established take-back program for key components.</w:t>
      </w:r>
    </w:p>
    <w:p>
      <w:pPr>
        <w:numPr>
          <w:ilvl w:val="0"/>
          <w:numId w:val="1006"/>
        </w:numPr>
        <w:pStyle w:val="Compact"/>
      </w:pPr>
      <w:r>
        <w:rPr>
          <w:bCs/>
          <w:b/>
        </w:rPr>
        <w:t xml:space="preserve">Assumed Avoided Emissions from Recycling:</w:t>
      </w:r>
    </w:p>
    <w:p>
      <w:pPr>
        <w:numPr>
          <w:ilvl w:val="1"/>
          <w:numId w:val="1007"/>
        </w:numPr>
        <w:pStyle w:val="Compact"/>
      </w:pPr>
      <w:r>
        <w:t xml:space="preserve">Aluminum: 10 kg CO2e/kg (reflecting significant energy savings compared to primary production)</w:t>
      </w:r>
    </w:p>
    <w:p>
      <w:pPr>
        <w:numPr>
          <w:ilvl w:val="1"/>
          <w:numId w:val="1007"/>
        </w:numPr>
        <w:pStyle w:val="Compact"/>
      </w:pPr>
      <w:r>
        <w:t xml:space="preserve">Plastic: 1.4 kg CO2e/kg (reflecting at least 50% lower footprint than virgin plastic)</w:t>
      </w:r>
    </w:p>
    <w:p>
      <w:pPr>
        <w:numPr>
          <w:ilvl w:val="1"/>
          <w:numId w:val="1007"/>
        </w:numPr>
        <w:pStyle w:val="Compact"/>
      </w:pPr>
      <w:r>
        <w:t xml:space="preserve">Paper: 0.88 kg CO2e/kg (based on avoided emissions from recycling paper)</w:t>
      </w:r>
    </w:p>
    <w:p>
      <w:pPr>
        <w:numPr>
          <w:ilvl w:val="0"/>
          <w:numId w:val="1006"/>
        </w:numPr>
        <w:pStyle w:val="Compact"/>
      </w:pPr>
      <w:r>
        <w:rPr>
          <w:bCs/>
          <w:b/>
        </w:rPr>
        <w:t xml:space="preserve">Assumed Landfill Emissions:</w:t>
      </w:r>
      <w:r>
        <w:t xml:space="preserve"> </w:t>
      </w:r>
      <w:r>
        <w:t xml:space="preserve">0.1 kg CO2e/kg for non-recycled waste.</w:t>
      </w:r>
    </w:p>
    <w:p>
      <w:pPr>
        <w:pStyle w:val="FirstParagraph"/>
      </w:pPr>
      <w:r>
        <w:t xml:space="preserve">The 2026 LSR Update on Land Sector and Removals is acknowledged, particularly for any bio-based materials (like paper/cardboard)</w:t>
      </w:r>
      <w:r>
        <w:t xml:space="preserve"> </w:t>
      </w:r>
      <w:r>
        <w:t xml:space="preserve">where land use change or biogenic carbon cycles would be relevant. For the materials in this BOM, the primary focus is on industrial processing and end-of-life recycling impacts rather than direct land-use change emissions during raw material extraction, but the principle of accounting for these is recognized.</w:t>
      </w:r>
    </w:p>
    <w:p>
      <w:r>
        <w:pict>
          <v:rect style="width:0;height:1.5pt" o:hralign="center" o:hrstd="t" o:hr="t"/>
        </w:pict>
      </w:r>
    </w:p>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Emissions were calculated across the lifecycle stages, categorized according to the GHG Protocol. Industry-standard</w:t>
      </w:r>
      <w:r>
        <w:t xml:space="preserve"> </w:t>
      </w:r>
      <w:r>
        <w:t xml:space="preserve">emission factors (e.g., from Ecoinvent/DEFRA, IEA for electricity) were used where specific data was not provided.</w:t>
      </w:r>
    </w:p>
    <w:bookmarkStart w:id="33" w:name="scope-1-direct-emissions"/>
    <w:p>
      <w:pPr>
        <w:pStyle w:val="Heading3"/>
      </w:pPr>
      <w:r>
        <w:t xml:space="preserve">4.1. Scope 1: Direct Emissions</w:t>
      </w:r>
    </w:p>
    <w:p>
      <w:pPr>
        <w:pStyle w:val="FirstParagraph"/>
      </w:pPr>
      <w:r>
        <w:t xml:space="preserve">For a \'factory_gate\' system boundary, direct emissions from owned or controlled sources (e.g., on-site fuel combustion) are typically minimal or integrated into Scope 2 for purchased heat/steam.</w:t>
      </w:r>
    </w:p>
    <w:p>
      <w:pPr>
        <w:numPr>
          <w:ilvl w:val="0"/>
          <w:numId w:val="1008"/>
        </w:numPr>
        <w:pStyle w:val="Compact"/>
      </w:pPr>
      <w:r>
        <w:rPr>
          <w:bCs/>
          <w:b/>
        </w:rPr>
        <w:t xml:space="preserve">Total Scope 1 Emissions:</w:t>
      </w:r>
      <w:r>
        <w:t xml:space="preserve"> </w:t>
      </w:r>
      <w:r>
        <w:t xml:space="preserve">0.00 kgCO2e (Assuming no direct combustion emissions within the factory gate beyond what\'s covered by purchased energy or material upstream emissions).</w:t>
      </w:r>
    </w:p>
    <w:bookmarkEnd w:id="33"/>
    <w:bookmarkStart w:id="34" w:name="X158095f9350ac49aa5904e2590d8a9baedd908f"/>
    <w:p>
      <w:pPr>
        <w:pStyle w:val="Heading3"/>
      </w:pPr>
      <w:r>
        <w:t xml:space="preserve">4.2. Scope 2: Purchased Energy Emissions (Production Phase)</w:t>
      </w:r>
    </w:p>
    <w:p>
      <w:pPr>
        <w:pStyle w:val="FirstParagraph"/>
      </w:pPr>
      <w:r>
        <w:t xml:space="preserve">Emissions from electricity purchased for manufacturing operations in China.</w:t>
      </w:r>
    </w:p>
    <w:p>
      <w:pPr>
        <w:numPr>
          <w:ilvl w:val="0"/>
          <w:numId w:val="1009"/>
        </w:numPr>
        <w:pStyle w:val="Compact"/>
      </w:pPr>
      <w:r>
        <w:t xml:space="preserve">Total Electricity Needed: 15 kWh/unit</w:t>
      </w:r>
    </w:p>
    <w:p>
      <w:pPr>
        <w:numPr>
          <w:ilvl w:val="0"/>
          <w:numId w:val="1009"/>
        </w:numPr>
        <w:pStyle w:val="Compact"/>
      </w:pPr>
      <w:r>
        <w:t xml:space="preserve">Non-renewable portion: 15 kWh * (1 - 0.75) = 3.75 kWh</w:t>
      </w:r>
    </w:p>
    <w:p>
      <w:pPr>
        <w:numPr>
          <w:ilvl w:val="0"/>
          <w:numId w:val="1009"/>
        </w:numPr>
        <w:pStyle w:val="Compact"/>
      </w:pPr>
      <w:r>
        <w:t xml:space="preserve">Emissions: 3.75 kWh * 0.6 kg CO2e/kWh =</w:t>
      </w:r>
      <w:r>
        <w:t xml:space="preserve"> </w:t>
      </w:r>
      <w:r>
        <w:rPr>
          <w:bCs/>
          <w:b/>
        </w:rPr>
        <w:t xml:space="preserve">2.25 kgCO2e</w:t>
      </w:r>
    </w:p>
    <w:bookmarkEnd w:id="34"/>
    <w:bookmarkStart w:id="39" w:name="scope-3-value-chain-emissions"/>
    <w:p>
      <w:pPr>
        <w:pStyle w:val="Heading3"/>
      </w:pPr>
      <w:r>
        <w:t xml:space="preserve">4.3. Scope 3: Value Chain Emissions</w:t>
      </w:r>
    </w:p>
    <w:p>
      <w:pPr>
        <w:pStyle w:val="FirstParagraph"/>
      </w:pPr>
      <w:r>
        <w:t xml:space="preserve">This encompasses all indirect emissions that occur in the value chain of the reporting company, both upstream and downstream.</w:t>
      </w:r>
      <w:r>
        <w:t xml:space="preserve"> </w:t>
      </w:r>
      <w:r>
        <w:t xml:space="preserve">A crucial aspect of this analysis is ensuring at least 95% coverage for Scope 3 reporting, as per 2026 requirements.</w:t>
      </w:r>
      <w:r>
        <w:t xml:space="preserve"> </w:t>
      </w:r>
      <w:r>
        <w:t xml:space="preserve">All identifiable and quantifiable categories based on the provided parameters are included to achieve this coverage.</w:t>
      </w:r>
    </w:p>
    <w:bookmarkStart w:id="35"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as per the detailed BOM.</w:t>
      </w:r>
    </w:p>
    <w:p>
      <w:pPr>
        <w:numPr>
          <w:ilvl w:val="0"/>
          <w:numId w:val="1010"/>
        </w:numPr>
        <w:pStyle w:val="Compact"/>
      </w:pPr>
      <w:r>
        <w:t xml:space="preserve">Total Material Emissions (from BOM \'Total Carbon\' column sum):</w:t>
      </w:r>
      <w:r>
        <w:t xml:space="preserve"> </w:t>
      </w:r>
      <w:r>
        <w:rPr>
          <w:bCs/>
          <w:b/>
        </w:rPr>
        <w:t xml:space="preserve">28.30 kgCO2e</w:t>
      </w:r>
    </w:p>
    <w:bookmarkEnd w:id="35"/>
    <w:bookmarkStart w:id="36" w:name="Xaa969e343a7577cc2b615509976030d42d2a4da"/>
    <w:p>
      <w:pPr>
        <w:pStyle w:val="Heading4"/>
      </w:pPr>
      <w:r>
        <w:t xml:space="preserve">4.3.2. Category 4: Upstream and Downstream Transportation and Distribution</w:t>
      </w:r>
    </w:p>
    <w:p>
      <w:pPr>
        <w:pStyle w:val="FirstParagraph"/>
      </w:pPr>
      <w:r>
        <w:t xml:space="preserve">Emissions from the transportation of materials to the manufacturing facility (upstream) and the transportation of the</w:t>
      </w:r>
      <w:r>
        <w:t xml:space="preserve"> </w:t>
      </w:r>
      <w:r>
        <w:t xml:space="preserve">final product to the end-consumer (downstream).</w:t>
      </w:r>
    </w:p>
    <w:p>
      <w:pPr>
        <w:numPr>
          <w:ilvl w:val="0"/>
          <w:numId w:val="1011"/>
        </w:numPr>
        <w:pStyle w:val="Compact"/>
      </w:pPr>
      <w:r>
        <w:rPr>
          <w:bCs/>
          <w:b/>
        </w:rPr>
        <w:t xml:space="preserve">Upstream Transport (Ocean Freight):</w:t>
      </w:r>
      <w:r>
        <w:t xml:space="preserve"> </w:t>
      </w:r>
      <w:r>
        <w:t xml:space="preserve">0.00475 tonnes * 8,000 km * 0.016 kg CO2e/tkm = 0.608 kgCO2e</w:t>
      </w:r>
    </w:p>
    <w:p>
      <w:pPr>
        <w:numPr>
          <w:ilvl w:val="0"/>
          <w:numId w:val="1011"/>
        </w:numPr>
        <w:pStyle w:val="Compact"/>
      </w:pPr>
      <w:r>
        <w:rPr>
          <w:bCs/>
          <w:b/>
        </w:rPr>
        <w:t xml:space="preserve">Downstream/Last-Mile Delivery (Road Freight):</w:t>
      </w:r>
      <w:r>
        <w:t xml:space="preserve"> </w:t>
      </w:r>
      <w:r>
        <w:t xml:space="preserve">0.005 tonnes * 500 km * 0.09 kg CO2e/tkm = 0.225 kgCO2e</w:t>
      </w:r>
    </w:p>
    <w:p>
      <w:pPr>
        <w:numPr>
          <w:ilvl w:val="0"/>
          <w:numId w:val="1011"/>
        </w:numPr>
        <w:pStyle w:val="Compact"/>
      </w:pPr>
      <w:r>
        <w:rPr>
          <w:bCs/>
          <w:b/>
        </w:rPr>
        <w:t xml:space="preserve">Total Transport Emissions:</w:t>
      </w:r>
      <w:r>
        <w:t xml:space="preserve"> </w:t>
      </w:r>
      <w:r>
        <w:t xml:space="preserve">0.608 + 0.225 =</w:t>
      </w:r>
      <w:r>
        <w:t xml:space="preserve"> </w:t>
      </w:r>
      <w:r>
        <w:rPr>
          <w:bCs/>
          <w:b/>
        </w:rPr>
        <w:t xml:space="preserve">0.83 kgCO2e</w:t>
      </w:r>
    </w:p>
    <w:bookmarkEnd w:id="36"/>
    <w:bookmarkStart w:id="37" w:name="category-11-use-of-sold-products"/>
    <w:p>
      <w:pPr>
        <w:pStyle w:val="Heading4"/>
      </w:pPr>
      <w:r>
        <w:t xml:space="preserve">4.3.3. Category 11: Use of Sold Products</w:t>
      </w:r>
    </w:p>
    <w:p>
      <w:pPr>
        <w:pStyle w:val="FirstParagraph"/>
      </w:pPr>
      <w:r>
        <w:t xml:space="preserve">Emissions arising from the energy consumption during the product\'s lifespan.</w:t>
      </w:r>
    </w:p>
    <w:p>
      <w:pPr>
        <w:numPr>
          <w:ilvl w:val="0"/>
          <w:numId w:val="1012"/>
        </w:numPr>
        <w:pStyle w:val="Compact"/>
      </w:pPr>
      <w:r>
        <w:t xml:space="preserve">Total Energy in Use: 10 kWh/year * 5 years = 50 kWh</w:t>
      </w:r>
    </w:p>
    <w:p>
      <w:pPr>
        <w:numPr>
          <w:ilvl w:val="0"/>
          <w:numId w:val="1012"/>
        </w:numPr>
        <w:pStyle w:val="Compact"/>
      </w:pPr>
      <w:r>
        <w:t xml:space="preserve">Emissions: 50 kWh * 0.4 kg CO2e/kWh (global average user electricity) =</w:t>
      </w:r>
      <w:r>
        <w:t xml:space="preserve"> </w:t>
      </w:r>
      <w:r>
        <w:rPr>
          <w:bCs/>
          <w:b/>
        </w:rPr>
        <w:t xml:space="preserve">20.00 kgCO2e</w:t>
      </w:r>
    </w:p>
    <w:bookmarkEnd w:id="37"/>
    <w:bookmarkStart w:id="38" w:name="X9f66eef2700632e081dfe139021cb724ffcd2c5"/>
    <w:p>
      <w:pPr>
        <w:pStyle w:val="Heading4"/>
      </w:pPr>
      <w:r>
        <w:t xml:space="preserve">4.3.4. Category 12: End-of-Life Treatment of Sold Products</w:t>
      </w:r>
    </w:p>
    <w:p>
      <w:pPr>
        <w:pStyle w:val="FirstParagraph"/>
      </w:pPr>
      <w:r>
        <w:t xml:space="preserve">Emissions or avoided emissions from the disposal and recycling of the product at the end of its life.</w:t>
      </w:r>
    </w:p>
    <w:p>
      <w:pPr>
        <w:numPr>
          <w:ilvl w:val="0"/>
          <w:numId w:val="1013"/>
        </w:numPr>
        <w:pStyle w:val="Compact"/>
      </w:pPr>
      <w:r>
        <w:t xml:space="preserve">Total Product Mass: 4.75 kg (materials) + 0.25 kg (packaging and manual) = 5.0 kg</w:t>
      </w:r>
    </w:p>
    <w:p>
      <w:pPr>
        <w:numPr>
          <w:ilvl w:val="0"/>
          <w:numId w:val="1013"/>
        </w:numPr>
        <w:pStyle w:val="Compact"/>
      </w:pPr>
      <w:r>
        <w:t xml:space="preserve">Recycled Portion (80%): 5.0 kg * 0.80 = 4.0 kg</w:t>
      </w:r>
    </w:p>
    <w:p>
      <w:pPr>
        <w:numPr>
          <w:ilvl w:val="0"/>
          <w:numId w:val="1013"/>
        </w:numPr>
        <w:pStyle w:val="Compact"/>
      </w:pPr>
      <w:r>
        <w:t xml:space="preserve">Landfilled Portion (20%): 5.0 kg * 0.20 = 1.0 kg</w:t>
      </w:r>
    </w:p>
    <w:p>
      <w:pPr>
        <w:numPr>
          <w:ilvl w:val="0"/>
          <w:numId w:val="1013"/>
        </w:numPr>
        <w:pStyle w:val="Compact"/>
      </w:pPr>
      <w:r>
        <w:rPr>
          <w:bCs/>
          <w:b/>
        </w:rPr>
        <w:t xml:space="preserve">Avoided Emissions from Recycling:</w:t>
      </w:r>
    </w:p>
    <w:p>
      <w:pPr>
        <w:numPr>
          <w:ilvl w:val="1"/>
          <w:numId w:val="1014"/>
        </w:numPr>
        <w:pStyle w:val="Compact"/>
      </w:pPr>
      <w:r>
        <w:t xml:space="preserve">Aluminum (2.5 kg * 0.80 = 2.0 kg recycled): -2.0 kg * 10 kg CO2e/kg = -20.00 kgCO2e</w:t>
      </w:r>
    </w:p>
    <w:p>
      <w:pPr>
        <w:numPr>
          <w:ilvl w:val="1"/>
          <w:numId w:val="1014"/>
        </w:numPr>
        <w:pStyle w:val="Compact"/>
      </w:pPr>
      <w:r>
        <w:t xml:space="preserve">Plastic (1.2 kg * 0.80 = 0.96 kg recycled): -0.96 kg * 1.4 kg CO2e/kg = -1.34 kgCO2e</w:t>
      </w:r>
    </w:p>
    <w:p>
      <w:pPr>
        <w:numPr>
          <w:ilvl w:val="1"/>
          <w:numId w:val="1014"/>
        </w:numPr>
        <w:pStyle w:val="Compact"/>
      </w:pPr>
      <w:r>
        <w:t xml:space="preserve">Paper (0.25 kg * 0.80 = 0.2 kg recycled): -0.2 kg * 0.88 kg CO2e/kg = -0.18 kgCO2e</w:t>
      </w:r>
    </w:p>
    <w:p>
      <w:pPr>
        <w:numPr>
          <w:ilvl w:val="1"/>
          <w:numId w:val="1014"/>
        </w:numPr>
        <w:pStyle w:val="Compact"/>
      </w:pPr>
      <w:r>
        <w:t xml:space="preserve">Total Avoided Emissions:</w:t>
      </w:r>
      <w:r>
        <w:t xml:space="preserve"> </w:t>
      </w:r>
      <w:r>
        <w:rPr>
          <w:bCs/>
          <w:b/>
        </w:rPr>
        <w:t xml:space="preserve">-21.52 kgCO2e</w:t>
      </w:r>
    </w:p>
    <w:p>
      <w:pPr>
        <w:numPr>
          <w:ilvl w:val="0"/>
          <w:numId w:val="1013"/>
        </w:numPr>
        <w:pStyle w:val="Compact"/>
      </w:pPr>
      <w:r>
        <w:rPr>
          <w:bCs/>
          <w:b/>
        </w:rPr>
        <w:t xml:space="preserve">Landfill Emissions:</w:t>
      </w:r>
      <w:r>
        <w:t xml:space="preserve"> </w:t>
      </w:r>
      <w:r>
        <w:t xml:space="preserve">1.0 kg (non-recycled) * 0.1 kg CO2e/kg = 0.10 kgCO2e</w:t>
      </w:r>
    </w:p>
    <w:p>
      <w:pPr>
        <w:numPr>
          <w:ilvl w:val="0"/>
          <w:numId w:val="1013"/>
        </w:numPr>
        <w:pStyle w:val="Compact"/>
      </w:pPr>
      <w:r>
        <w:rPr>
          <w:bCs/>
          <w:b/>
        </w:rPr>
        <w:t xml:space="preserve">Net End-of-Life Emissions:</w:t>
      </w:r>
      <w:r>
        <w:t xml:space="preserve"> </w:t>
      </w:r>
      <w:r>
        <w:t xml:space="preserve">-21.52 + 0.10 =</w:t>
      </w:r>
      <w:r>
        <w:t xml:space="preserve"> </w:t>
      </w:r>
      <w:r>
        <w:rPr>
          <w:bCs/>
          <w:b/>
        </w:rPr>
        <w:t xml:space="preserve">-21.42 kgCO2e</w:t>
      </w:r>
      <w:r>
        <w:t xml:space="preserve"> </w:t>
      </w:r>
      <w:r>
        <w:t xml:space="preserve">(Net credit)</w:t>
      </w:r>
    </w:p>
    <w:bookmarkEnd w:id="38"/>
    <w:bookmarkEnd w:id="39"/>
    <w:bookmarkStart w:id="40" w:name="X9e4c95373d15b9f6a4b0c97b43fbd7282ccf36a"/>
    <w:p>
      <w:pPr>
        <w:pStyle w:val="Heading3"/>
      </w:pPr>
      <w:r>
        <w:t xml:space="preserve">4.4. Summary of PCF Emissions by Scope (kg 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2.25</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28.30</w:t>
            </w:r>
          </w:p>
        </w:tc>
      </w:tr>
      <w:tr>
        <w:tc>
          <w:tcPr/>
          <w:p>
            <w:pPr>
              <w:pStyle w:val="Compact"/>
              <w:jc w:val="left"/>
            </w:pPr>
            <w:r>
              <w:t xml:space="preserve">Scope 3, Category 4</w:t>
            </w:r>
          </w:p>
        </w:tc>
        <w:tc>
          <w:tcPr/>
          <w:p>
            <w:pPr>
              <w:pStyle w:val="Compact"/>
              <w:jc w:val="left"/>
            </w:pPr>
            <w:r>
              <w:t xml:space="preserve">Upstream &amp; Downstream Transportation</w:t>
            </w:r>
          </w:p>
        </w:tc>
        <w:tc>
          <w:tcPr/>
          <w:p>
            <w:pPr>
              <w:pStyle w:val="Compact"/>
              <w:jc w:val="left"/>
            </w:pPr>
            <w:r>
              <w:t xml:space="preserve">0.83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-21.42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29.96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hotspot-analysis"/>
    <w:p>
      <w:pPr>
        <w:pStyle w:val="Heading3"/>
      </w:pPr>
      <w:r>
        <w:t xml:space="preserve">5.1. Hotspot Analysis</w:t>
      </w:r>
    </w:p>
    <w:p>
      <w:pPr>
        <w:pStyle w:val="FirstParagraph"/>
      </w:pPr>
      <w:r>
        <w:t xml:space="preserve">The primary hotspots for the</w:t>
      </w:r>
      <w:r>
        <w:t xml:space="preserve"> </w:t>
      </w:r>
      <w:r>
        <w:rPr>
          <w:bCs/>
          <w:b/>
        </w:rPr>
        <w:t xml:space="preserve">xprdssddym</w:t>
      </w:r>
      <w:r>
        <w:t xml:space="preserve"> </w:t>
      </w:r>
      <w:r>
        <w:t xml:space="preserve">product\'s carbon footprint are:</w:t>
      </w:r>
    </w:p>
    <w:p>
      <w:pPr>
        <w:numPr>
          <w:ilvl w:val="0"/>
          <w:numId w:val="1015"/>
        </w:numPr>
        <w:pStyle w:val="Compact"/>
      </w:pPr>
      <w:r>
        <w:rPr>
          <w:bCs/>
          <w:b/>
        </w:rPr>
        <w:t xml:space="preserve">Purchased Goods &amp; Services (Materials - Scope 3, Category 1):</w:t>
      </w:r>
      <w:r>
        <w:t xml:space="preserve"> </w:t>
      </w:r>
      <w:r>
        <w:t xml:space="preserve">At 28.30 kgCO2e, material acquisition is the largest contributor to the PCF. This highlights the importance of material selection, design for less material usage, and sourcing from lower-carbon suppliers.</w:t>
      </w:r>
    </w:p>
    <w:p>
      <w:pPr>
        <w:numPr>
          <w:ilvl w:val="0"/>
          <w:numId w:val="1015"/>
        </w:numPr>
        <w:pStyle w:val="Compact"/>
      </w:pPr>
      <w:r>
        <w:rPr>
          <w:bCs/>
          <w:b/>
        </w:rPr>
        <w:t xml:space="preserve">Use of Sold Products (Scope 3, Category 11):</w:t>
      </w:r>
      <w:r>
        <w:t xml:space="preserve"> </w:t>
      </w:r>
      <w:r>
        <w:t xml:space="preserve">The energy consumed during the product\'s 5-year lifespan contributes significantly with 20.00 kgCO2e. Enhancing energy efficiency of the product during its operational phase or promoting renewable energy adoption by end-users could substantially reduce this impact.</w:t>
      </w:r>
    </w:p>
    <w:p>
      <w:pPr>
        <w:numPr>
          <w:ilvl w:val="0"/>
          <w:numId w:val="1015"/>
        </w:numPr>
        <w:pStyle w:val="Compact"/>
      </w:pPr>
      <w:r>
        <w:rPr>
          <w:bCs/>
          <w:b/>
        </w:rPr>
        <w:t xml:space="preserve">End-of-Life (Scope 3, Category 12):</w:t>
      </w:r>
      <w:r>
        <w:t xml:space="preserve"> </w:t>
      </w:r>
      <w:r>
        <w:t xml:space="preserve">A significant net credit of -21.42 kgCO2e is achieved through the high recyclability percentage and the assumed benefits of the circular/take-back programs. This demonstrates the positive impact of circular economy initiatives.</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the utilization of specific product data for Bill of Materials and customization parameters. However, certain limitations exist:</w:t>
      </w:r>
    </w:p>
    <w:p>
      <w:pPr>
        <w:numPr>
          <w:ilvl w:val="0"/>
          <w:numId w:val="1016"/>
        </w:numPr>
        <w:pStyle w:val="Compact"/>
      </w:pPr>
      <w:r>
        <w:rPr>
          <w:bCs/>
          <w:b/>
        </w:rPr>
        <w:t xml:space="preserve">Placeholder Data:</w:t>
      </w:r>
      <w:r>
        <w:t xml:space="preserve"> </w:t>
      </w:r>
      <w:r>
        <w:t xml:space="preserve">For parameters like \'Transport Mode\' (`Select Mode`), \'Transport Distance\' (`xmpymrgeme`), \'Last-Mile Delivery Channel\' (`Delivery Type`), \'Renewable Energy Usage\' (`msqgswoxzi`), \'Energy Intensity\' (`zqjlgeztss`), \'Product Lifespan\' (`udnetgzoqd`), \'Energy Consumption in Use\' (`uihesghxgh`), \'Recyclability Percentage\' (`nftssxfpir`), and \'Circular/Take-back Programs\' (`pnpgjskpfk`), numerical assumptions based on industry averages and best practices were made to facilitate calculation. Actual data for these specific parameters from</w:t>
      </w:r>
      <w:r>
        <w:t xml:space="preserve"> </w:t>
      </w:r>
      <w:r>
        <w:rPr>
          <w:bCs/>
          <w:b/>
        </w:rPr>
        <w:t xml:space="preserve">hidlkjpwht</w:t>
      </w:r>
      <w:r>
        <w:t xml:space="preserve"> </w:t>
      </w:r>
      <w:r>
        <w:t xml:space="preserve">would further enhance accuracy.</w:t>
      </w:r>
    </w:p>
    <w:p>
      <w:pPr>
        <w:numPr>
          <w:ilvl w:val="0"/>
          <w:numId w:val="1016"/>
        </w:numPr>
        <w:pStyle w:val="Compact"/>
      </w:pPr>
      <w:r>
        <w:rPr>
          <w:bCs/>
          <w:b/>
        </w:rPr>
        <w:t xml:space="preserve">Emission Factors:</w:t>
      </w:r>
      <w:r>
        <w:t xml:space="preserve"> </w:t>
      </w:r>
      <w:r>
        <w:t xml:space="preserve">While industry-standard emission factors (e.g., from Ecoinvent/DEFRA, IEA) were used, the specific origin and production methods of all components within the supply chain can vary, impacting their precise emission factors. The BOM\'s \'Total Carbon\' values were taken as provided.</w:t>
      </w:r>
    </w:p>
    <w:p>
      <w:pPr>
        <w:numPr>
          <w:ilvl w:val="0"/>
          <w:numId w:val="1016"/>
        </w:numPr>
        <w:pStyle w:val="Compact"/>
      </w:pPr>
      <w:r>
        <w:rPr>
          <w:bCs/>
          <w:b/>
        </w:rPr>
        <w:t xml:space="preserve">2026 LSR Update:</w:t>
      </w:r>
      <w:r>
        <w:t xml:space="preserve"> </w:t>
      </w:r>
      <w:r>
        <w:t xml:space="preserve">The principles of the 2026 Land Sector and Removals (LSR) Standard are recognized. While not directly applied with specific land-use change data for each material in this analysis due to the nature of the provided BOM, the framework\'s importance for comprehensive reporting is understood.</w:t>
      </w:r>
    </w:p>
    <w:p>
      <w:pPr>
        <w:numPr>
          <w:ilvl w:val="0"/>
          <w:numId w:val="1016"/>
        </w:numPr>
        <w:pStyle w:val="Compact"/>
      </w:pPr>
      <w:r>
        <w:rPr>
          <w:bCs/>
          <w:b/>
        </w:rPr>
        <w:t xml:space="preserve">Scope 3 Coverage:</w:t>
      </w:r>
      <w:r>
        <w:t xml:space="preserve"> </w:t>
      </w:r>
      <w:r>
        <w:t xml:space="preserve">While a diligent effort was made to cover all relevant Scope 3 categories based on provided parameters, achieving 95% coverage can be challenging without direct primary data from all value chain partners. This report aims to meet the compliance target through comprehensive estimation for key categories.</w:t>
      </w:r>
    </w:p>
    <w:bookmarkEnd w:id="43"/>
    <w:bookmarkStart w:id="44" w:name="recommendations"/>
    <w:p>
      <w:pPr>
        <w:pStyle w:val="Heading3"/>
      </w:pPr>
      <w:r>
        <w:t xml:space="preserve">5.3. Recommendations</w:t>
      </w:r>
    </w:p>
    <w:p>
      <w:pPr>
        <w:pStyle w:val="FirstParagraph"/>
      </w:pPr>
      <w:r>
        <w:t xml:space="preserve">Based on this analysis,</w:t>
      </w:r>
      <w:r>
        <w:t xml:space="preserve"> </w:t>
      </w:r>
      <w:r>
        <w:rPr>
          <w:bCs/>
          <w:b/>
        </w:rPr>
        <w:t xml:space="preserve">hidlkjpwht</w:t>
      </w:r>
      <w:r>
        <w:t xml:space="preserve"> </w:t>
      </w:r>
      <w:r>
        <w:t xml:space="preserve">is recommended to:</w:t>
      </w:r>
    </w:p>
    <w:p>
      <w:pPr>
        <w:numPr>
          <w:ilvl w:val="0"/>
          <w:numId w:val="1017"/>
        </w:numPr>
        <w:pStyle w:val="Compact"/>
      </w:pPr>
      <w:r>
        <w:rPr>
          <w:bCs/>
          <w:b/>
        </w:rPr>
        <w:t xml:space="preserve">Optimize Material Sourcing:</w:t>
      </w:r>
      <w:r>
        <w:t xml:space="preserve"> </w:t>
      </w:r>
      <w:r>
        <w:t xml:space="preserve">Investigate opportunities to source lower-carbon intensity materials or components from suppliers with verified environmental performance data.</w:t>
      </w:r>
    </w:p>
    <w:p>
      <w:pPr>
        <w:numPr>
          <w:ilvl w:val="0"/>
          <w:numId w:val="1017"/>
        </w:numPr>
        <w:pStyle w:val="Compact"/>
      </w:pPr>
      <w:r>
        <w:rPr>
          <w:bCs/>
          <w:b/>
        </w:rPr>
        <w:t xml:space="preserve">Enhance Product Energy Efficiency:</w:t>
      </w:r>
      <w:r>
        <w:t xml:space="preserve"> </w:t>
      </w:r>
      <w:r>
        <w:t xml:space="preserve">Explore design improvements to reduce energy consumption during the product\'s use phase.</w:t>
      </w:r>
    </w:p>
    <w:p>
      <w:pPr>
        <w:numPr>
          <w:ilvl w:val="0"/>
          <w:numId w:val="1017"/>
        </w:numPr>
        <w:pStyle w:val="Compact"/>
      </w:pPr>
      <w:r>
        <w:rPr>
          <w:bCs/>
          <w:b/>
        </w:rPr>
        <w:t xml:space="preserve">Strengthen Circular Economy Initiatives:</w:t>
      </w:r>
      <w:r>
        <w:t xml:space="preserve"> </w:t>
      </w:r>
      <w:r>
        <w:t xml:space="preserve">Continue to expand and promote the existing circular/take-back programs and explore innovative recycling technologies for all product components.</w:t>
      </w:r>
    </w:p>
    <w:p>
      <w:pPr>
        <w:numPr>
          <w:ilvl w:val="0"/>
          <w:numId w:val="1017"/>
        </w:numPr>
        <w:pStyle w:val="Compact"/>
      </w:pPr>
      <w:r>
        <w:rPr>
          <w:bCs/>
          <w:b/>
        </w:rPr>
        <w:t xml:space="preserve">Collect Primary Data:</w:t>
      </w:r>
      <w:r>
        <w:t xml:space="preserve"> </w:t>
      </w:r>
      <w:r>
        <w:t xml:space="preserve">Focus on gathering more specific primary data for transport distances, modes, and the energy mix of suppliers, especially for high-impact categories.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xprdssddym</dc:title>
  <dc:creator/>
  <dc:description>High-detail Product Carbon Footprint (PCF) analysis report for xprdssddym by ittztdjddk for hidlkjpwht, following GHG Protocol and 2026 LSR Update for sustainability insights.</dc:description>
  <dc:language>en</dc:language>
  <cp:keywords/>
  <dcterms:created xsi:type="dcterms:W3CDTF">2026-07-15T10:24:59Z</dcterms:created>
  <dcterms:modified xsi:type="dcterms:W3CDTF">2026-07-15T10:24:59Z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