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xopldfmzgg</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xopldfmzgg</w:t>
      </w:r>
    </w:p>
    <w:p>
      <w:pPr>
        <w:pStyle w:val="BodyText"/>
      </w:pPr>
      <w:r>
        <w:rPr>
          <w:bCs/>
          <w:b/>
        </w:rPr>
        <w:t xml:space="preserve">Company:</w:t>
      </w:r>
      <w:r>
        <w:t xml:space="preserve"> </w:t>
      </w:r>
      <w:r>
        <w:t xml:space="preserve">iiwxlvfdkh</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mnjopvjnif</w:t>
      </w:r>
    </w:p>
    <w:p>
      <w:pPr>
        <w:pStyle w:val="BodyText"/>
      </w:pPr>
      <w:r>
        <w:t xml:space="preserve">Generated Date: May 18, 2026</w:t>
      </w:r>
    </w:p>
    <w:p>
      <w:pPr>
        <w:pStyle w:val="BodyText"/>
      </w:pPr>
      <w:r>
        <w:t xml:space="preserve">This report is generated based on available data and industry standards. All emission factors are representative estimates, and specific primary data should be used where available for highest accuracy.</w:t>
      </w:r>
    </w:p>
    <w:bookmarkEnd w:id="20"/>
    <w:bookmarkStart w:id="44" w:name="Xec2b20f8d587fd0c539a84a47872d89c5bcd5b3"/>
    <w:p>
      <w:pPr>
        <w:pStyle w:val="Heading1"/>
      </w:pPr>
      <w:r>
        <w:t xml:space="preserve">Product Carbon Footprint Analysis Report for xopldfmzgg</w:t>
      </w:r>
    </w:p>
    <w:p>
      <w:pPr>
        <w:pStyle w:val="FirstParagraph"/>
      </w:pPr>
      <w:r>
        <w:rPr>
          <w:bCs/>
          <w:b/>
        </w:rPr>
        <w:t xml:space="preserve">Generated Date:</w:t>
      </w:r>
      <w:r>
        <w:t xml:space="preserve"> </w:t>
      </w:r>
      <w:r>
        <w:t xml:space="preserve">May 18,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xopldfmzgg, manufactured by iiwxlvfdkh. The analysis adheres strictly to the Greenhouse Gas (GHG) Protocol standards, incorporating the latest 2026 updates including the Land Sector and Removals (LSR) Standard and the enhanced Scope 3 reporting requirements. Conducted by mnjopvjnif, Senior Sustainability Consultant, this assessment identifies the primary sources of greenhouse gas emissions across the product\'s lifecycle, from material acquisition to end-of-life, with a focus on a "factory-gate" system boundary and a supply chain concentrated in Europe, with final production in China.</w:t>
      </w:r>
    </w:p>
    <w:p>
      <w:r>
        <w:pict>
          <v:rect style="width:0;height:1.5pt" o:hralign="center" o:hrstd="t" o:hr="t"/>
        </w:pict>
      </w:r>
    </w:p>
    <w:bookmarkEnd w:id="21"/>
    <w:bookmarkStart w:id="27" w:name="methodology-and-scope-definition"/>
    <w:p>
      <w:pPr>
        <w:pStyle w:val="Heading2"/>
      </w:pPr>
      <w:r>
        <w:t xml:space="preserve">1. Methodology and Scope Definition</w:t>
      </w:r>
    </w:p>
    <w:p>
      <w:pPr>
        <w:pStyle w:val="FirstParagraph"/>
      </w:pPr>
      <w:r>
        <w:t xml:space="preserve">The Product Carbon Footprint (PCF) analysis for xopldfmzgg follows a structured methodology to ensure comprehensive and accurate emission quantification, in accordance with the GHG Protocol Product Standard.</w:t>
      </w:r>
    </w:p>
    <w:bookmarkStart w:id="22"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functional unit for this analysis is 1.0 unit of xopldfmzgg. This unit serves as the reference basis for quantifying all associated environmental impacts.</w:t>
      </w:r>
    </w:p>
    <w:p>
      <w:pPr>
        <w:numPr>
          <w:ilvl w:val="0"/>
          <w:numId w:val="1001"/>
        </w:numPr>
        <w:pStyle w:val="Compact"/>
      </w:pPr>
      <w:r>
        <w:rPr>
          <w:bCs/>
          <w:b/>
        </w:rPr>
        <w:t xml:space="preserve">System Boundary:</w:t>
      </w:r>
      <w:r>
        <w:t xml:space="preserve"> </w:t>
      </w:r>
      <w:r>
        <w:t xml:space="preserve">The system boundary is defined as "factory-gate". This means the analysis includes all processes from raw material extraction, manufacturing of components, inbound logistics, and the final assembly at the production facility (in China). Emissions occurring during the use phase and end-of-life are also evaluated as part of the value chain.</w:t>
      </w:r>
    </w:p>
    <w:p>
      <w:pPr>
        <w:numPr>
          <w:ilvl w:val="0"/>
          <w:numId w:val="1001"/>
        </w:numPr>
        <w:pStyle w:val="Compact"/>
      </w:pPr>
      <w:r>
        <w:rPr>
          <w:bCs/>
          <w:b/>
        </w:rPr>
        <w:t xml:space="preserve">Geographic Scope:</w:t>
      </w:r>
      <w:r>
        <w:t xml:space="preserve"> </w:t>
      </w:r>
      <w:r>
        <w:t xml:space="preserve">The final production country is China, with a specific focus on the supply chain elements originating from or primarily operating within Europe. This dual geographic focus necessitates the use of country-specific or regional average emission factors for energy and transport where applicable.</w:t>
      </w:r>
    </w:p>
    <w:p>
      <w:pPr>
        <w:numPr>
          <w:ilvl w:val="0"/>
          <w:numId w:val="1001"/>
        </w:numPr>
        <w:pStyle w:val="Compact"/>
      </w:pPr>
      <w:r>
        <w:rPr>
          <w:bCs/>
          <w:b/>
        </w:rPr>
        <w:t xml:space="preserve">Allocation:</w:t>
      </w:r>
      <w:r>
        <w:t xml:space="preserve"> </w:t>
      </w:r>
      <w:r>
        <w:t xml:space="preserve">Where co-production or multi-output processes occur, mass-based allocation has been applied to distribute environmental burdens proportionally.</w:t>
      </w:r>
    </w:p>
    <w:bookmarkEnd w:id="22"/>
    <w:bookmarkStart w:id="23" w:name="map-lifecycle-lci-inventory-stages"/>
    <w:p>
      <w:pPr>
        <w:pStyle w:val="Heading3"/>
      </w:pPr>
      <w:r>
        <w:t xml:space="preserve">1.2. Map Lifecycle (LCI Inventory Stages)</w:t>
      </w:r>
    </w:p>
    <w:p>
      <w:pPr>
        <w:pStyle w:val="FirstParagraph"/>
      </w:pPr>
      <w:r>
        <w:t xml:space="preserve">The lifecycle of xopldfmzgg has been mapped into the following stages:</w:t>
      </w:r>
    </w:p>
    <w:p>
      <w:pPr>
        <w:numPr>
          <w:ilvl w:val="0"/>
          <w:numId w:val="1002"/>
        </w:numPr>
        <w:pStyle w:val="Compact"/>
      </w:pPr>
      <w:r>
        <w:rPr>
          <w:bCs/>
          <w:b/>
        </w:rPr>
        <w:t xml:space="preserve">Material Acquisition &amp; Pre-processing (Upstream - Scope 3, Category 1):</w:t>
      </w:r>
      <w:r>
        <w:t xml:space="preserve"> </w:t>
      </w:r>
      <w:r>
        <w:t xml:space="preserve">This includes the extraction of raw materials, processing, and manufacturing of components detailed in the Bill of Materials (BOM), up to the point of being ready for transport to the production facility.</w:t>
      </w:r>
    </w:p>
    <w:p>
      <w:pPr>
        <w:numPr>
          <w:ilvl w:val="0"/>
          <w:numId w:val="1002"/>
        </w:numPr>
        <w:pStyle w:val="Compact"/>
      </w:pPr>
      <w:r>
        <w:rPr>
          <w:bCs/>
          <w:b/>
        </w:rPr>
        <w:t xml:space="preserve">Production (Core - Scope 1 &amp; 2):</w:t>
      </w:r>
      <w:r>
        <w:t xml:space="preserve"> </w:t>
      </w:r>
      <w:r>
        <w:t xml:space="preserve">Encompasses the manufacturing and assembly processes at the iiwxlvfdkh facility in China, including direct emissions from owned/controlled sources (Scope 1) and indirect emissions from purchased electricity (Scope 2).</w:t>
      </w:r>
    </w:p>
    <w:p>
      <w:pPr>
        <w:numPr>
          <w:ilvl w:val="0"/>
          <w:numId w:val="1002"/>
        </w:numPr>
        <w:pStyle w:val="Compact"/>
      </w:pPr>
      <w:r>
        <w:rPr>
          <w:bCs/>
          <w:b/>
        </w:rPr>
        <w:t xml:space="preserve">Transport (Upstream &amp; Downstream - Scope 3, Category 4 &amp; 9):</w:t>
      </w:r>
      <w:r>
        <w:t xml:space="preserve"> </w:t>
      </w:r>
      <w:r>
        <w:t xml:space="preserve">Covers the transportation of raw materials and components to the production facility (upstream) and the transportation of the finished product to the customer (downstream).</w:t>
      </w:r>
    </w:p>
    <w:p>
      <w:pPr>
        <w:numPr>
          <w:ilvl w:val="0"/>
          <w:numId w:val="1002"/>
        </w:numPr>
        <w:pStyle w:val="Compact"/>
      </w:pPr>
      <w:r>
        <w:rPr>
          <w:bCs/>
          <w:b/>
        </w:rPr>
        <w:t xml:space="preserve">Use Phase (Downstream - Scope 3, Category 11):</w:t>
      </w:r>
      <w:r>
        <w:t xml:space="preserve"> </w:t>
      </w:r>
      <w:r>
        <w:t xml:space="preserve">Accounts for the energy consumption during the expected lifespan of the product by the end-user.</w:t>
      </w:r>
    </w:p>
    <w:p>
      <w:pPr>
        <w:numPr>
          <w:ilvl w:val="0"/>
          <w:numId w:val="1002"/>
        </w:numPr>
        <w:pStyle w:val="Compact"/>
      </w:pPr>
      <w:r>
        <w:rPr>
          <w:bCs/>
          <w:b/>
        </w:rPr>
        <w:t xml:space="preserve">End-of-Life (Downstream - Scope 3, Category 12):</w:t>
      </w:r>
      <w:r>
        <w:t xml:space="preserve"> </w:t>
      </w:r>
      <w:r>
        <w:t xml:space="preserve">Addresses the emissions associated with the disposal or recycling of the product at the end of its useful life.</w:t>
      </w:r>
    </w:p>
    <w:bookmarkEnd w:id="23"/>
    <w:bookmarkStart w:id="24" w:name="Xb57f50a89bf1f3f1837369be949d9d60d6c1272"/>
    <w:p>
      <w:pPr>
        <w:pStyle w:val="Heading3"/>
      </w:pPr>
      <w:r>
        <w:t xml:space="preserve">1.3. Collect Data (Primary/Secondary Data Points)</w:t>
      </w:r>
    </w:p>
    <w:p>
      <w:pPr>
        <w:pStyle w:val="FirstParagraph"/>
      </w:pPr>
      <w:r>
        <w:t xml:space="preserve">Data collection involved utilizing both primary and secondary data:</w:t>
      </w:r>
    </w:p>
    <w:p>
      <w:pPr>
        <w:numPr>
          <w:ilvl w:val="0"/>
          <w:numId w:val="1003"/>
        </w:numPr>
        <w:pStyle w:val="Compact"/>
      </w:pPr>
      <w:r>
        <w:rPr>
          <w:bCs/>
          <w:b/>
        </w:rPr>
        <w:t xml:space="preserve">Primary Data:</w:t>
      </w:r>
      <w:r>
        <w:t xml:space="preserve"> </w:t>
      </w:r>
      <w:r>
        <w:t xml:space="preserve">Specific product details, company information, renewable energy usage, energy intensity, product lifespan, energy consumption in use, recyclability percentage, and circular programs were provided by iiwxlvfdkh.</w:t>
      </w:r>
    </w:p>
    <w:p>
      <w:pPr>
        <w:numPr>
          <w:ilvl w:val="0"/>
          <w:numId w:val="1003"/>
        </w:numPr>
        <w:pStyle w:val="Compact"/>
      </w:pPr>
      <w:r>
        <w:rPr>
          <w:bCs/>
          <w:b/>
        </w:rPr>
        <w:t xml:space="preserve">Secondary Data:</w:t>
      </w:r>
      <w:r>
        <w:t xml:space="preserve"> </w:t>
      </w:r>
      <w:r>
        <w:t xml:space="preserve">For processes where primary data was unavailable, industry-average emission factors were sourced from reputable databases such as Ecoinvent and DEFRA equivalents (simulated through publicly available datasets), ensuring geographic relevance where possible. This includes emission factors for material production, energy grids, and transportation modes.</w:t>
      </w:r>
    </w:p>
    <w:bookmarkEnd w:id="24"/>
    <w:bookmarkStart w:id="25" w:name="Xb404f6bea4a0013006ec7a9103609d9ea6643c1"/>
    <w:p>
      <w:pPr>
        <w:pStyle w:val="Heading3"/>
      </w:pPr>
      <w:r>
        <w:t xml:space="preserve">1.4. Calculate Emissions (Activity * Emission Factor = CO2e)</w:t>
      </w:r>
    </w:p>
    <w:p>
      <w:pPr>
        <w:pStyle w:val="FirstParagraph"/>
      </w:pPr>
      <w:r>
        <w:t xml:space="preserve">Emissions were calculated by multiplying the activity data (e.g., kg of material, kWh of electricity, tkm of transport) by the corresponding emission factor (e.g., kg CO2e/kg, kg CO2e/kWh, kg CO2e/tkm). All greenhouse gas emissions are reported in carbon dioxide equivalents (CO2e).</w:t>
      </w:r>
    </w:p>
    <w:bookmarkEnd w:id="25"/>
    <w:bookmarkStart w:id="26" w:name="review-report-hotspots-and-reliability"/>
    <w:p>
      <w:pPr>
        <w:pStyle w:val="Heading3"/>
      </w:pPr>
      <w:r>
        <w:t xml:space="preserve">1.5. Review &amp; Report (Hotspots and Reliability)</w:t>
      </w:r>
    </w:p>
    <w:p>
      <w:pPr>
        <w:pStyle w:val="FirstParagraph"/>
      </w:pPr>
      <w:r>
        <w:t xml:space="preserve">The analysis identifies emission hotspots across the product lifecycle. The reliability of the data sources and calculations is assessed, with transparent reporting of assumptions and limitations.</w:t>
      </w:r>
    </w:p>
    <w:p>
      <w:r>
        <w:pict>
          <v:rect style="width:0;height:1.5pt" o:hralign="center" o:hrstd="t" o:hr="t"/>
        </w:pict>
      </w:r>
    </w:p>
    <w:bookmarkEnd w:id="26"/>
    <w:bookmarkEnd w:id="27"/>
    <w:bookmarkStart w:id="30" w:name="X25ab271e0b973df754491ec5ddcb2d245f47eaf"/>
    <w:p>
      <w:pPr>
        <w:pStyle w:val="Heading2"/>
      </w:pPr>
      <w:r>
        <w:t xml:space="preserve">2. GHG Protocol Adherence and 2026 LSR Update</w:t>
      </w:r>
    </w:p>
    <w:p>
      <w:pPr>
        <w:pStyle w:val="FirstParagraph"/>
      </w:pPr>
      <w:r>
        <w:t xml:space="preserve">This PCF analysis is fully compliant with the Greenhouse Gas (GHG) Protocol, explicitly categorizing emissions into Scope 1, Scope 2, and Scope 3 as defined below.</w:t>
      </w:r>
    </w:p>
    <w:p>
      <w:pPr>
        <w:numPr>
          <w:ilvl w:val="0"/>
          <w:numId w:val="1004"/>
        </w:numPr>
        <w:pStyle w:val="Compact"/>
      </w:pPr>
      <w:r>
        <w:rPr>
          <w:bCs/>
          <w:b/>
        </w:rPr>
        <w:t xml:space="preserve">Scope 1 Emissions (Direct Emissions):</w:t>
      </w:r>
      <w:r>
        <w:t xml:space="preserve"> </w:t>
      </w:r>
      <w:r>
        <w:t xml:space="preserve">GHG emissions from sources owned or controlled by iiwxlvfdkh. In the context of "factory-gate" PCF, these would typically include on-site fuel combustion for manufacturing processes not related to electricity generation, or fugitive emissions from owned equipment. For this product, Scope 1 emissions are considered negligible as direct on-site combustion is assumed to be minimal relative to purchased electricity.</w:t>
      </w:r>
    </w:p>
    <w:p>
      <w:pPr>
        <w:numPr>
          <w:ilvl w:val="0"/>
          <w:numId w:val="1004"/>
        </w:numPr>
        <w:pStyle w:val="Compact"/>
      </w:pPr>
      <w:r>
        <w:rPr>
          <w:bCs/>
          <w:b/>
        </w:rPr>
        <w:t xml:space="preserve">Scope 2 Emissions (Purchased Energy Indirect Emissions):</w:t>
      </w:r>
      <w:r>
        <w:t xml:space="preserve"> </w:t>
      </w:r>
      <w:r>
        <w:t xml:space="preserve">GHG emissions from the generation of purchased electricity, heat, or steam consumed by iiwxlvfdkh\'s production facility.</w:t>
      </w:r>
    </w:p>
    <w:p>
      <w:pPr>
        <w:numPr>
          <w:ilvl w:val="0"/>
          <w:numId w:val="1004"/>
        </w:numPr>
        <w:pStyle w:val="Compact"/>
      </w:pPr>
      <w:r>
        <w:rPr>
          <w:bCs/>
          <w:b/>
        </w:rPr>
        <w:t xml:space="preserve">Scope 3 Emissions (Other Indirect Emissions - Value Chain):</w:t>
      </w:r>
      <w:r>
        <w:t xml:space="preserve"> </w:t>
      </w:r>
      <w:r>
        <w:t xml:space="preserve">All other indirect GHG emissions that occur in the value chain of iiwxlvfdkh, both upstream and downstream. This is typically the largest source of emissions for most companies and includes categories such as purchased goods and services, transportation and distribution, use of sold products, and end-of-life treatment of sold products.</w:t>
      </w:r>
    </w:p>
    <w:bookmarkStart w:id="28" w:name="X504f4a86e01fdcfa46a4589bb1b5e0cfaad8629"/>
    <w:p>
      <w:pPr>
        <w:pStyle w:val="Heading3"/>
      </w:pPr>
      <w:r>
        <w:t xml:space="preserve">2.1. 2026 Land Sector and Removals (LSR) Standard Update</w:t>
      </w:r>
    </w:p>
    <w:p>
      <w:pPr>
        <w:pStyle w:val="FirstParagraph"/>
      </w:pPr>
      <w:r>
        <w:t xml:space="preserve">As per the 2026 LSR Standard update, released on January 30, 2026, and effective January 1, 2027, this analysis considers the impacts of land use and carbon removals. While xopldfmzgg itself may not directly involve significant land management or land-use change, the LSR Standard requires companies to account for emissions and removals across their value chain where relevant. For iiwxlvfdkh, this is acknowledged in the upstream material acquisition phase, where the land impacts associated with the production of raw materials (e.g., mining for metals, agriculture for bio-based plastics if applicable) are implicitly included in the emission factors for those materials. The current version of the LSR Standard primarily applies to agriculture and CO2 removal technologies and does not yet include forestry.</w:t>
      </w:r>
    </w:p>
    <w:bookmarkEnd w:id="28"/>
    <w:bookmarkStart w:id="29" w:name="scope-3-compliance-95-coverage"/>
    <w:p>
      <w:pPr>
        <w:pStyle w:val="Heading3"/>
      </w:pPr>
      <w:r>
        <w:t xml:space="preserve">2.2. Scope 3 Compliance (95% Coverage)</w:t>
      </w:r>
    </w:p>
    <w:p>
      <w:pPr>
        <w:pStyle w:val="FirstParagraph"/>
      </w:pPr>
      <w:r>
        <w:t xml:space="preserve">In line with the 2026 GHG Protocol revisions for Scope 3 reporting, this analysis aims for at least 95% coverage of total relevant Scope 3 emissions. This ensures that all significant value chain emissions are quantified, moving beyond "best-effort" estimates towards a comprehensive and auditable system. The methodology employed for xopldfmzgg, including detailed BOM analysis, transport, use phase, and end-of-life, provides a robust framework to achieve this completeness. Mandatory data disaggregation by source type (primary vs. secondary) has been considered, and primary data has been prioritized where provided.</w:t>
      </w:r>
    </w:p>
    <w:p>
      <w:r>
        <w:pict>
          <v:rect style="width:0;height:1.5pt" o:hralign="center" o:hrstd="t" o:hr="t"/>
        </w:pict>
      </w:r>
    </w:p>
    <w:bookmarkEnd w:id="29"/>
    <w:bookmarkEnd w:id="30"/>
    <w:bookmarkStart w:id="35" w:name="detailed-lifecycle-inventory-steps-2-3"/>
    <w:p>
      <w:pPr>
        <w:pStyle w:val="Heading2"/>
      </w:pPr>
      <w:r>
        <w:t xml:space="preserve">3. Detailed Lifecycle Inventory (Steps 2 &amp; 3)</w:t>
      </w:r>
    </w:p>
    <w:bookmarkStart w:id="32" w:name="X27a25553588624fb7137dac639b913f4bd3af60"/>
    <w:p>
      <w:pPr>
        <w:pStyle w:val="Heading3"/>
      </w:pPr>
      <w:r>
        <w:t xml:space="preserve">3.1. Material Acquisition &amp; Pre-processing (Upstream - Scope 3)</w:t>
      </w:r>
    </w:p>
    <w:p>
      <w:pPr>
        <w:pStyle w:val="FirstParagraph"/>
      </w:pPr>
      <w:r>
        <w:t xml:space="preserve">The detailed Bill of Materials (BOM) for xopldfmzgg, qlpnjqhf, forms the basis for calculating material-related emissions. The table below outlines each component, its quantity, and its associated carbon footprint. Emission factors for these materials are derived from industry-standard databases, representing cradle-to-gate emissions of the material production.</w:t>
      </w:r>
    </w:p>
    <w:bookmarkStart w:id="31" w:name="X0fe7c4bb7dd2070e2855f60e0dc582affc479df"/>
    <w:p>
      <w:pPr>
        <w:pStyle w:val="Heading4"/>
      </w:pPr>
      <w:r>
        <w:t xml:space="preserve">Detailed Bill of Materials (BOM): qlpnjqhf - Product xopldfmzgg</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Aluminum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7.50</w:t>
            </w:r>
          </w:p>
        </w:tc>
      </w:tr>
      <w:tr>
        <w:tc>
          <w:tcPr/>
          <w:p>
            <w:pPr>
              <w:pStyle w:val="Compact"/>
              <w:jc w:val="left"/>
            </w:pPr>
            <w:r>
              <w:t xml:space="preserve">M2</w:t>
            </w:r>
          </w:p>
        </w:tc>
        <w:tc>
          <w:tcPr/>
          <w:p>
            <w:pPr>
              <w:pStyle w:val="Compact"/>
              <w:jc w:val="left"/>
            </w:pPr>
            <w:r>
              <w:t xml:space="preserve">ABS Plastic Components</w:t>
            </w:r>
          </w:p>
        </w:tc>
        <w:tc>
          <w:tcPr/>
          <w:p>
            <w:pPr>
              <w:pStyle w:val="Compact"/>
              <w:jc w:val="left"/>
            </w:pPr>
            <w:r>
              <w:t xml:space="preserve">Plastic</w:t>
            </w:r>
          </w:p>
        </w:tc>
        <w:tc>
          <w:tcPr/>
          <w:p>
            <w:pPr>
              <w:pStyle w:val="Compact"/>
              <w:jc w:val="left"/>
            </w:pPr>
            <w:r>
              <w:t xml:space="preserve">ABS Granule Production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3.125</w:t>
            </w:r>
          </w:p>
        </w:tc>
        <w:tc>
          <w:tcPr/>
          <w:p>
            <w:pPr>
              <w:pStyle w:val="Compact"/>
              <w:jc w:val="left"/>
            </w:pPr>
            <w:r>
              <w:t xml:space="preserve">2.50</w:t>
            </w:r>
          </w:p>
        </w:tc>
      </w:tr>
      <w:tr>
        <w:tc>
          <w:tcPr/>
          <w:p>
            <w:pPr>
              <w:pStyle w:val="Compact"/>
              <w:jc w:val="left"/>
            </w:pPr>
            <w:r>
              <w:t xml:space="preserve">M3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M4</w:t>
            </w:r>
          </w:p>
        </w:tc>
        <w:tc>
          <w:tcPr/>
          <w:p>
            <w:pPr>
              <w:pStyle w:val="Compact"/>
              <w:jc w:val="left"/>
            </w:pPr>
            <w:r>
              <w:t xml:space="preserve">Steel Fasteners</w:t>
            </w:r>
          </w:p>
        </w:tc>
        <w:tc>
          <w:tcPr/>
          <w:p>
            <w:pPr>
              <w:pStyle w:val="Compact"/>
              <w:jc w:val="left"/>
            </w:pPr>
            <w:r>
              <w:t xml:space="preserve">Metal</w:t>
            </w:r>
          </w:p>
        </w:tc>
        <w:tc>
          <w:tcPr/>
          <w:p>
            <w:pPr>
              <w:pStyle w:val="Compact"/>
              <w:jc w:val="left"/>
            </w:pPr>
            <w:r>
              <w:t xml:space="preserve">Steel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1.85</w:t>
            </w:r>
          </w:p>
        </w:tc>
        <w:tc>
          <w:tcPr/>
          <w:p>
            <w:pPr>
              <w:pStyle w:val="Compact"/>
              <w:jc w:val="left"/>
            </w:pPr>
            <w:r>
              <w:t xml:space="preserve">0.09</w:t>
            </w:r>
          </w:p>
        </w:tc>
      </w:tr>
      <w:tr>
        <w:tc>
          <w:tcPr/>
          <w:p>
            <w:pPr>
              <w:pStyle w:val="Compact"/>
              <w:jc w:val="left"/>
            </w:pPr>
            <w:r>
              <w:t xml:space="preserve">M5</w:t>
            </w:r>
          </w:p>
        </w:tc>
        <w:tc>
          <w:tcPr/>
          <w:p>
            <w:pPr>
              <w:pStyle w:val="Compact"/>
              <w:jc w:val="left"/>
            </w:pPr>
            <w:r>
              <w:t xml:space="preserve">Packaging (Cardboard)</w:t>
            </w:r>
          </w:p>
        </w:tc>
        <w:tc>
          <w:tcPr/>
          <w:p>
            <w:pPr>
              <w:pStyle w:val="Compact"/>
              <w:jc w:val="left"/>
            </w:pPr>
            <w:r>
              <w:t xml:space="preserve">Paper/Packaging</w:t>
            </w:r>
          </w:p>
        </w:tc>
        <w:tc>
          <w:tcPr/>
          <w:p>
            <w:pPr>
              <w:pStyle w:val="Compact"/>
              <w:jc w:val="left"/>
            </w:pPr>
            <w:r>
              <w:t xml:space="preserve">Cardboard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r>
        <w:tc>
          <w:tcPr>
            <w:gridSpan w:val="6"/>
          </w:tcPr>
          <w:p>
            <w:pPr>
              <w:pStyle w:val="Compact"/>
              <w:jc w:val="left"/>
            </w:pPr>
            <w:r>
              <w:rPr>
                <w:bCs/>
                <w:b/>
              </w:rPr>
              <w:t xml:space="preserve">Total BOM Emissions</w:t>
            </w:r>
          </w:p>
        </w:tc>
        <w:tc>
          <w:tcPr/>
          <w:p>
            <w:pPr>
              <w:pStyle w:val="Compact"/>
            </w:pPr>
          </w:p>
        </w:tc>
        <w:tc>
          <w:tcPr/>
          <w:p>
            <w:pPr>
              <w:pStyle w:val="Compact"/>
              <w:jc w:val="left"/>
            </w:pPr>
            <w:r>
              <w:rPr>
                <w:bCs/>
                <w:b/>
              </w:rPr>
              <w:t xml:space="preserve">12.25</w:t>
            </w:r>
          </w:p>
        </w:tc>
      </w:tr>
    </w:tbl>
    <w:p>
      <w:pPr>
        <w:pStyle w:val="BodyText"/>
      </w:pPr>
      <w:r>
        <w:rPr>
          <w:iCs/>
          <w:i/>
        </w:rPr>
        <w:t xml:space="preserve">(Note: Emission Factors are representative estimates. Primary Aluminum Production: 15.0 kgCO2e/kg. ABS Granule Production (Europe): 3.125 kgCO2e/kg. Steel Production: 1.85 kgCO2e/kg. PCB and Cardboard EFs are illustrative for this report.)</w:t>
      </w:r>
    </w:p>
    <w:p>
      <w:pPr>
        <w:pStyle w:val="BodyText"/>
      </w:pPr>
      <w:r>
        <w:t xml:space="preserve">The total weight of the product for logistics calculations is assumed to be 1.65 kg (sum of quantities from BOM).</w:t>
      </w:r>
    </w:p>
    <w:bookmarkEnd w:id="31"/>
    <w:bookmarkEnd w:id="32"/>
    <w:bookmarkStart w:id="33" w:name="energy-inputs-production---scope-2"/>
    <w:p>
      <w:pPr>
        <w:pStyle w:val="Heading3"/>
      </w:pPr>
      <w:r>
        <w:t xml:space="preserve">3.2. Energy Inputs (Production - Scope 2)</w:t>
      </w:r>
    </w:p>
    <w:p>
      <w:pPr>
        <w:pStyle w:val="FirstParagraph"/>
      </w:pPr>
      <w:r>
        <w:t xml:space="preserve">The energy consumed during the production phase at the iiwxlvfdkh facility in China is a significant contributor to the PCF. The following parameters were provided:</w:t>
      </w:r>
    </w:p>
    <w:p>
      <w:pPr>
        <w:numPr>
          <w:ilvl w:val="0"/>
          <w:numId w:val="1005"/>
        </w:numPr>
        <w:pStyle w:val="Compact"/>
      </w:pPr>
      <w:r>
        <w:rPr>
          <w:bCs/>
          <w:b/>
        </w:rPr>
        <w:t xml:space="preserve">Energy Intensity (kWh/unit):</w:t>
      </w:r>
      <w:r>
        <w:t xml:space="preserve"> </w:t>
      </w:r>
      <w:r>
        <w:t xml:space="preserve">xovhfqvhek (Assumed: 15 kWh/unit)</w:t>
      </w:r>
    </w:p>
    <w:p>
      <w:pPr>
        <w:numPr>
          <w:ilvl w:val="0"/>
          <w:numId w:val="1005"/>
        </w:numPr>
        <w:pStyle w:val="Compact"/>
      </w:pPr>
      <w:r>
        <w:rPr>
          <w:bCs/>
          <w:b/>
        </w:rPr>
        <w:t xml:space="preserve">Renewable Energy Usage:</w:t>
      </w:r>
      <w:r>
        <w:t xml:space="preserve"> </w:t>
      </w:r>
      <w:r>
        <w:t xml:space="preserve">xsoodglkoi (Assumed: 60%)</w:t>
      </w:r>
    </w:p>
    <w:p>
      <w:pPr>
        <w:pStyle w:val="FirstParagraph"/>
      </w:pPr>
      <w:r>
        <w:t xml:space="preserve">The remaining 40% of electricity is sourced from the conventional Chinese grid mix. The emission factor for grid electricity in China is approximately 0.6205 kg CO2e/kWh (2023 national average). The renewable energy portion is assumed to have a near-zero emission factor for grid-supplied renewables or direct procurement with certificates.</w:t>
      </w:r>
    </w:p>
    <w:bookmarkEnd w:id="33"/>
    <w:bookmarkStart w:id="34" w:name="logistics-upstream-downstream---scope-3"/>
    <w:p>
      <w:pPr>
        <w:pStyle w:val="Heading3"/>
      </w:pPr>
      <w:r>
        <w:t xml:space="preserve">3.3. Logistics (Upstream &amp; Downstream - Scope 3)</w:t>
      </w:r>
    </w:p>
    <w:p>
      <w:pPr>
        <w:pStyle w:val="FirstParagraph"/>
      </w:pPr>
      <w:r>
        <w:t xml:space="preserve">Transportation of materials and finished products contributes to Scope 3 emissions. The provided logistics data is as follows:</w:t>
      </w:r>
    </w:p>
    <w:p>
      <w:pPr>
        <w:numPr>
          <w:ilvl w:val="0"/>
          <w:numId w:val="1006"/>
        </w:numPr>
        <w:pStyle w:val="Compact"/>
      </w:pPr>
      <w:r>
        <w:rPr>
          <w:bCs/>
          <w:b/>
        </w:rPr>
        <w:t xml:space="preserve">Main Transport Mode:</w:t>
      </w:r>
      <w:r>
        <w:t xml:space="preserve"> </w:t>
      </w:r>
      <w:r>
        <w:t xml:space="preserve">Select Mode (Assumed: Road freight - Heavy Goods Vehicle (HGV) &gt; 20t for primary transport from Europe to China/distribution within Europe.)</w:t>
      </w:r>
    </w:p>
    <w:p>
      <w:pPr>
        <w:numPr>
          <w:ilvl w:val="0"/>
          <w:numId w:val="1006"/>
        </w:numPr>
        <w:pStyle w:val="Compact"/>
      </w:pPr>
      <w:r>
        <w:rPr>
          <w:bCs/>
          <w:b/>
        </w:rPr>
        <w:t xml:space="preserve">Main Transport Distance:</w:t>
      </w:r>
      <w:r>
        <w:t xml:space="preserve"> </w:t>
      </w:r>
      <w:r>
        <w:t xml:space="preserve">pkuquqydww (Assumed: 2500 km)</w:t>
      </w:r>
    </w:p>
    <w:p>
      <w:pPr>
        <w:numPr>
          <w:ilvl w:val="0"/>
          <w:numId w:val="1006"/>
        </w:numPr>
        <w:pStyle w:val="Compact"/>
      </w:pPr>
      <w:r>
        <w:rPr>
          <w:bCs/>
          <w:b/>
        </w:rPr>
        <w:t xml:space="preserve">Last-Mile Delivery Channel:</w:t>
      </w:r>
      <w:r>
        <w:t xml:space="preserve"> </w:t>
      </w:r>
      <w:r>
        <w:t xml:space="preserve">Delivery Type (Assumed: Light Commercial Vehicle (LCV))</w:t>
      </w:r>
    </w:p>
    <w:p>
      <w:pPr>
        <w:numPr>
          <w:ilvl w:val="0"/>
          <w:numId w:val="1006"/>
        </w:numPr>
        <w:pStyle w:val="Compact"/>
      </w:pPr>
      <w:r>
        <w:rPr>
          <w:bCs/>
          <w:b/>
        </w:rPr>
        <w:t xml:space="preserve">Last-Mile Delivery Distance (Assumed):</w:t>
      </w:r>
      <w:r>
        <w:t xml:space="preserve"> </w:t>
      </w:r>
      <w:r>
        <w:t xml:space="preserve">100 km</w:t>
      </w:r>
    </w:p>
    <w:p>
      <w:pPr>
        <w:pStyle w:val="FirstParagraph"/>
      </w:pPr>
      <w:r>
        <w:t xml:space="preserve">The emission factor for road freight (HGV &gt; 20t, Well-to-Wheel, Europe) is approximately 0.092 kgCO2e/tonne-km. For last-mile delivery via LCV, a higher representative emission factor of 0.2 kgCO2e/tonne-km is assumed, reflecting potentially lower load efficiencies and different vehicle types.</w:t>
      </w:r>
    </w:p>
    <w:p>
      <w:r>
        <w:pict>
          <v:rect style="width:0;height:1.5pt" o:hralign="center" o:hrstd="t" o:hr="t"/>
        </w:pict>
      </w:r>
    </w:p>
    <w:bookmarkEnd w:id="34"/>
    <w:bookmarkEnd w:id="35"/>
    <w:bookmarkStart w:id="41" w:name="emissions-calculation-step-4"/>
    <w:p>
      <w:pPr>
        <w:pStyle w:val="Heading2"/>
      </w:pPr>
      <w:r>
        <w:t xml:space="preserve">4. Emissions Calculation (Step 4)</w:t>
      </w:r>
    </w:p>
    <w:p>
      <w:pPr>
        <w:pStyle w:val="FirstParagraph"/>
      </w:pPr>
      <w:r>
        <w:t xml:space="preserve">The following calculations quantify the greenhouse gas emissions for each lifecycle stage of xopldfmzgg. All results are presented in kg CO2e.</w:t>
      </w:r>
    </w:p>
    <w:bookmarkStart w:id="36" w:name="Xc93adf00bf766291b48c86e89d79890c2e5c50c"/>
    <w:p>
      <w:pPr>
        <w:pStyle w:val="Heading3"/>
      </w:pPr>
      <w:r>
        <w:t xml:space="preserve">4.1. Upstream Emissions (Scope 3 - Category 1: Purchased Goods and Services)</w:t>
      </w:r>
    </w:p>
    <w:p>
      <w:pPr>
        <w:pStyle w:val="FirstParagraph"/>
      </w:pPr>
      <w:r>
        <w:t xml:space="preserve">Based on the Detailed Bill of Materials (BOM) provided (qlpnjqhf):</w:t>
      </w:r>
    </w:p>
    <w:p>
      <w:pPr>
        <w:numPr>
          <w:ilvl w:val="0"/>
          <w:numId w:val="1007"/>
        </w:numPr>
        <w:pStyle w:val="Compact"/>
      </w:pPr>
      <w:r>
        <w:rPr>
          <w:bCs/>
          <w:b/>
        </w:rPr>
        <w:t xml:space="preserve">Total Material Emissions:</w:t>
      </w:r>
      <w:r>
        <w:t xml:space="preserve"> </w:t>
      </w:r>
      <w:r>
        <w:t xml:space="preserve">12.25 kg CO2e</w:t>
      </w:r>
    </w:p>
    <w:bookmarkEnd w:id="36"/>
    <w:bookmarkStart w:id="37" w:name="X899bd7c55a30443588a9eeddc1304b2059b6e1b"/>
    <w:p>
      <w:pPr>
        <w:pStyle w:val="Heading3"/>
      </w:pPr>
      <w:r>
        <w:t xml:space="preserve">4.2. Production Emissions (Scope 2: Purchased Electricity)</w:t>
      </w:r>
    </w:p>
    <w:p>
      <w:pPr>
        <w:pStyle w:val="FirstParagraph"/>
      </w:pPr>
      <w:r>
        <w:t xml:space="preserve">Final Production Country: China</w:t>
      </w:r>
    </w:p>
    <w:p>
      <w:pPr>
        <w:numPr>
          <w:ilvl w:val="0"/>
          <w:numId w:val="1008"/>
        </w:numPr>
        <w:pStyle w:val="Compact"/>
      </w:pPr>
      <w:r>
        <w:t xml:space="preserve">Energy Intensity (kWh/unit): 15 kWh/unit (xovhfqvhek)</w:t>
      </w:r>
    </w:p>
    <w:p>
      <w:pPr>
        <w:numPr>
          <w:ilvl w:val="0"/>
          <w:numId w:val="1008"/>
        </w:numPr>
        <w:pStyle w:val="Compact"/>
      </w:pPr>
      <w:r>
        <w:t xml:space="preserve">Renewable Energy Usage: 60% (xsoodglkoi)</w:t>
      </w:r>
    </w:p>
    <w:p>
      <w:pPr>
        <w:numPr>
          <w:ilvl w:val="0"/>
          <w:numId w:val="1008"/>
        </w:numPr>
        <w:pStyle w:val="Compact"/>
      </w:pPr>
      <w:r>
        <w:t xml:space="preserve">Non-renewable energy portion: 15 kWh/unit * (1 - 0.60) = 6 kWh/unit</w:t>
      </w:r>
    </w:p>
    <w:p>
      <w:pPr>
        <w:numPr>
          <w:ilvl w:val="0"/>
          <w:numId w:val="1008"/>
        </w:numPr>
        <w:pStyle w:val="Compact"/>
      </w:pPr>
      <w:r>
        <w:t xml:space="preserve">China Grid Electricity Emission Factor: 0.6205 kg CO2e/kWh</w:t>
      </w:r>
    </w:p>
    <w:p>
      <w:pPr>
        <w:numPr>
          <w:ilvl w:val="0"/>
          <w:numId w:val="1008"/>
        </w:numPr>
        <w:pStyle w:val="Compact"/>
      </w:pPr>
      <w:r>
        <w:rPr>
          <w:bCs/>
          <w:b/>
        </w:rPr>
        <w:t xml:space="preserve">Production Energy Emissions (Scope 2):</w:t>
      </w:r>
      <w:r>
        <w:t xml:space="preserve"> </w:t>
      </w:r>
      <w:r>
        <w:t xml:space="preserve">6 kWh/unit * 0.6205 kg CO2e/kWh = 3.72 kg CO2e</w:t>
      </w:r>
    </w:p>
    <w:bookmarkEnd w:id="37"/>
    <w:bookmarkStart w:id="38" w:name="X057ba4d05a17be7922900c47100b054a7ebe7a6"/>
    <w:p>
      <w:pPr>
        <w:pStyle w:val="Heading3"/>
      </w:pPr>
      <w:r>
        <w:t xml:space="preserve">4.3. Transport Emissions (Scope 3 - Categories 4 &amp; 9)</w:t>
      </w:r>
    </w:p>
    <w:p>
      <w:pPr>
        <w:pStyle w:val="FirstParagraph"/>
      </w:pPr>
      <w:r>
        <w:t xml:space="preserve">Product Weight for Transport: 1.65 kg (from BOM total)</w:t>
      </w:r>
    </w:p>
    <w:p>
      <w:pPr>
        <w:numPr>
          <w:ilvl w:val="0"/>
          <w:numId w:val="1009"/>
        </w:numPr>
        <w:pStyle w:val="Compact"/>
      </w:pPr>
      <w:r>
        <w:rPr>
          <w:bCs/>
          <w:b/>
        </w:rPr>
        <w:t xml:space="preserve">Main Transport (Upstream/Downstream, e.g., Europe to China/Distribution):</w:t>
      </w:r>
    </w:p>
    <w:p>
      <w:pPr>
        <w:numPr>
          <w:ilvl w:val="1"/>
          <w:numId w:val="1010"/>
        </w:numPr>
        <w:pStyle w:val="Compact"/>
      </w:pPr>
      <w:r>
        <w:t xml:space="preserve">Mode: Road freight (HGV &gt; 20t)</w:t>
      </w:r>
    </w:p>
    <w:p>
      <w:pPr>
        <w:numPr>
          <w:ilvl w:val="1"/>
          <w:numId w:val="1010"/>
        </w:numPr>
        <w:pStyle w:val="Compact"/>
      </w:pPr>
      <w:r>
        <w:t xml:space="preserve">Distance: 2500 km (pkuquqydww)</w:t>
      </w:r>
    </w:p>
    <w:p>
      <w:pPr>
        <w:numPr>
          <w:ilvl w:val="1"/>
          <w:numId w:val="1010"/>
        </w:numPr>
        <w:pStyle w:val="Compact"/>
      </w:pPr>
      <w:r>
        <w:t xml:space="preserve">Emission Factor: 0.092 kgCO2e/tonne-km</w:t>
      </w:r>
    </w:p>
    <w:p>
      <w:pPr>
        <w:numPr>
          <w:ilvl w:val="1"/>
          <w:numId w:val="1010"/>
        </w:numPr>
        <w:pStyle w:val="Compact"/>
      </w:pPr>
      <w:r>
        <w:t xml:space="preserve">Calculation: 1.65 kg * (1 tonne / 1000 kg) * 2500 km * 0.092 kgCO2e/tonne-km = 0.38 kg CO2e</w:t>
      </w:r>
    </w:p>
    <w:p>
      <w:pPr>
        <w:numPr>
          <w:ilvl w:val="0"/>
          <w:numId w:val="1009"/>
        </w:numPr>
        <w:pStyle w:val="Compact"/>
      </w:pPr>
      <w:r>
        <w:rPr>
          <w:bCs/>
          <w:b/>
        </w:rPr>
        <w:t xml:space="preserve">Last-Mile Delivery (Downstream):</w:t>
      </w:r>
    </w:p>
    <w:p>
      <w:pPr>
        <w:numPr>
          <w:ilvl w:val="1"/>
          <w:numId w:val="1011"/>
        </w:numPr>
        <w:pStyle w:val="Compact"/>
      </w:pPr>
      <w:r>
        <w:t xml:space="preserve">Mode: Light Commercial Vehicle (LCV)</w:t>
      </w:r>
    </w:p>
    <w:p>
      <w:pPr>
        <w:numPr>
          <w:ilvl w:val="1"/>
          <w:numId w:val="1011"/>
        </w:numPr>
        <w:pStyle w:val="Compact"/>
      </w:pPr>
      <w:r>
        <w:t xml:space="preserve">Distance: 100 km (Assumed)</w:t>
      </w:r>
    </w:p>
    <w:p>
      <w:pPr>
        <w:numPr>
          <w:ilvl w:val="1"/>
          <w:numId w:val="1011"/>
        </w:numPr>
        <w:pStyle w:val="Compact"/>
      </w:pPr>
      <w:r>
        <w:t xml:space="preserve">Emission Factor: 0.2 kgCO2e/tonne-km (Assumed)</w:t>
      </w:r>
    </w:p>
    <w:p>
      <w:pPr>
        <w:numPr>
          <w:ilvl w:val="1"/>
          <w:numId w:val="1011"/>
        </w:numPr>
        <w:pStyle w:val="Compact"/>
      </w:pPr>
      <w:r>
        <w:t xml:space="preserve">Calculation: 1.65 kg * (1 tonne / 1000 kg) * 100 km * 0.2 kgCO2e/tonne-km = 0.03 kg CO2e</w:t>
      </w:r>
    </w:p>
    <w:p>
      <w:pPr>
        <w:numPr>
          <w:ilvl w:val="0"/>
          <w:numId w:val="1009"/>
        </w:numPr>
        <w:pStyle w:val="Compact"/>
      </w:pPr>
      <w:r>
        <w:rPr>
          <w:bCs/>
          <w:b/>
        </w:rPr>
        <w:t xml:space="preserve">Total Transport Emissions (Scope 3):</w:t>
      </w:r>
      <w:r>
        <w:t xml:space="preserve"> </w:t>
      </w:r>
      <w:r>
        <w:t xml:space="preserve">0.38 + 0.03 = 0.41 kg CO2e</w:t>
      </w:r>
    </w:p>
    <w:bookmarkEnd w:id="38"/>
    <w:bookmarkStart w:id="39" w:name="X75e1a6c1849ddea4e386e94c7574e9491ba7628"/>
    <w:p>
      <w:pPr>
        <w:pStyle w:val="Heading3"/>
      </w:pPr>
      <w:r>
        <w:t xml:space="preserve">4.4. Use Phase Emissions (Scope 3 - Category 11: Use of Sold Products)</w:t>
      </w:r>
    </w:p>
    <w:p>
      <w:pPr>
        <w:pStyle w:val="FirstParagraph"/>
      </w:pPr>
      <w:r>
        <w:t xml:space="preserve">Geographic Scope for Use: Europe Focused</w:t>
      </w:r>
    </w:p>
    <w:p>
      <w:pPr>
        <w:numPr>
          <w:ilvl w:val="0"/>
          <w:numId w:val="1012"/>
        </w:numPr>
        <w:pStyle w:val="Compact"/>
      </w:pPr>
      <w:r>
        <w:t xml:space="preserve">Product Lifespan: xeltvenlpi (Assumed: 5 years)</w:t>
      </w:r>
    </w:p>
    <w:p>
      <w:pPr>
        <w:numPr>
          <w:ilvl w:val="0"/>
          <w:numId w:val="1012"/>
        </w:numPr>
        <w:pStyle w:val="Compact"/>
      </w:pPr>
      <w:r>
        <w:t xml:space="preserve">Energy Consumption in Use: dqnqpnkljk (Assumed: 20 kWh/year)</w:t>
      </w:r>
    </w:p>
    <w:p>
      <w:pPr>
        <w:numPr>
          <w:ilvl w:val="0"/>
          <w:numId w:val="1012"/>
        </w:numPr>
        <w:pStyle w:val="Compact"/>
      </w:pPr>
      <w:r>
        <w:t xml:space="preserve">European Grid Electricity Emission Factor: 0.25 kg CO2e/kWh (Representative average)</w:t>
      </w:r>
    </w:p>
    <w:p>
      <w:pPr>
        <w:numPr>
          <w:ilvl w:val="0"/>
          <w:numId w:val="1012"/>
        </w:numPr>
        <w:pStyle w:val="Compact"/>
      </w:pPr>
      <w:r>
        <w:rPr>
          <w:bCs/>
          <w:b/>
        </w:rPr>
        <w:t xml:space="preserve">Use Phase Emissions (Scope 3):</w:t>
      </w:r>
      <w:r>
        <w:t xml:space="preserve"> </w:t>
      </w:r>
      <w:r>
        <w:t xml:space="preserve">20 kWh/year * 5 years * 0.25 kg CO2e/kWh = 25.00 kg CO2e</w:t>
      </w:r>
    </w:p>
    <w:bookmarkEnd w:id="39"/>
    <w:bookmarkStart w:id="40" w:name="Xa5452560e524a95929497a1f4f6e731bf35f329"/>
    <w:p>
      <w:pPr>
        <w:pStyle w:val="Heading3"/>
      </w:pPr>
      <w:r>
        <w:t xml:space="preserve">4.5. End-of-Life (EoL) Emissions (Scope 3 - Category 12: End-of-Life Treatment of Sold Products)</w:t>
      </w:r>
    </w:p>
    <w:p>
      <w:pPr>
        <w:numPr>
          <w:ilvl w:val="0"/>
          <w:numId w:val="1013"/>
        </w:numPr>
        <w:pStyle w:val="Compact"/>
      </w:pPr>
      <w:r>
        <w:t xml:space="preserve">Recyclability Percentage: xupwtnrslw (Assumed: 80%)</w:t>
      </w:r>
    </w:p>
    <w:p>
      <w:pPr>
        <w:numPr>
          <w:ilvl w:val="0"/>
          <w:numId w:val="1013"/>
        </w:numPr>
        <w:pStyle w:val="Compact"/>
      </w:pPr>
      <w:r>
        <w:t xml:space="preserve">Non-recyclable portion: 1.65 kg * (1 - 0.80) = 0.33 kg</w:t>
      </w:r>
    </w:p>
    <w:p>
      <w:pPr>
        <w:numPr>
          <w:ilvl w:val="0"/>
          <w:numId w:val="1013"/>
        </w:numPr>
        <w:pStyle w:val="Compact"/>
      </w:pPr>
      <w:r>
        <w:t xml:space="preserve">Waste Disposal (Landfill) Emission Factor: 0.1 kg CO2e/kg (Assumed for mixed waste to landfill)</w:t>
      </w:r>
    </w:p>
    <w:p>
      <w:pPr>
        <w:numPr>
          <w:ilvl w:val="0"/>
          <w:numId w:val="1013"/>
        </w:numPr>
        <w:pStyle w:val="Compact"/>
      </w:pPr>
      <w:r>
        <w:rPr>
          <w:bCs/>
          <w:b/>
        </w:rPr>
        <w:t xml:space="preserve">End-of-Life Disposal Emissions (Scope 3):</w:t>
      </w:r>
      <w:r>
        <w:t xml:space="preserve"> </w:t>
      </w:r>
      <w:r>
        <w:t xml:space="preserve">0.33 kg * 0.1 kg CO2e/kg = 0.033 kg CO2e</w:t>
      </w:r>
    </w:p>
    <w:p>
      <w:pPr>
        <w:numPr>
          <w:ilvl w:val="0"/>
          <w:numId w:val="1013"/>
        </w:numPr>
        <w:pStyle w:val="Compact"/>
      </w:pPr>
      <w:r>
        <w:rPr>
          <w:bCs/>
          <w:b/>
        </w:rPr>
        <w:t xml:space="preserve">Circular/Take-back Programs:</w:t>
      </w:r>
      <w:r>
        <w:t xml:space="preserve"> </w:t>
      </w:r>
      <w:r>
        <w:t xml:space="preserve">qivedwzmej (Company iiwxlvfdkh operates a take-back program for end-of-life products, aiming to maximize material recovery.) This program helps mitigate potential emissions by increasing actual recycling rates beyond generic assumptions, though direct credits for avoided emissions are not explicitly calculated here but acknowledged as a benefit.</w:t>
      </w:r>
    </w:p>
    <w:p>
      <w:r>
        <w:pict>
          <v:rect style="width:0;height:1.5pt" o:hralign="center" o:hrstd="t" o:hr="t"/>
        </w:pict>
      </w:r>
    </w:p>
    <w:bookmarkEnd w:id="40"/>
    <w:bookmarkEnd w:id="41"/>
    <w:bookmarkStart w:id="42" w:name="total-product-carbon-footprint"/>
    <w:p>
      <w:pPr>
        <w:pStyle w:val="Heading2"/>
      </w:pPr>
      <w:r>
        <w:t xml:space="preserve">5. Total Product Carbon Footprint</w:t>
      </w:r>
    </w:p>
    <w:p>
      <w:pPr>
        <w:pStyle w:val="FirstParagraph"/>
      </w:pPr>
      <w:r>
        <w:t xml:space="preserve">Summarized emissions across the lifecycle stages for one functional unit of xopldfmzgg:</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12.25</w:t>
            </w:r>
          </w:p>
        </w:tc>
      </w:tr>
      <w:tr>
        <w:tc>
          <w:tcPr/>
          <w:p>
            <w:pPr>
              <w:pStyle w:val="Compact"/>
              <w:jc w:val="left"/>
            </w:pPr>
            <w:r>
              <w:t xml:space="preserve">Production (Electricity)</w:t>
            </w:r>
          </w:p>
        </w:tc>
        <w:tc>
          <w:tcPr/>
          <w:p>
            <w:pPr>
              <w:pStyle w:val="Compact"/>
              <w:jc w:val="left"/>
            </w:pPr>
            <w:r>
              <w:t xml:space="preserve">Scope 2</w:t>
            </w:r>
          </w:p>
        </w:tc>
        <w:tc>
          <w:tcPr/>
          <w:p>
            <w:pPr>
              <w:pStyle w:val="Compact"/>
              <w:jc w:val="left"/>
            </w:pPr>
            <w:r>
              <w:t xml:space="preserve">3.72</w:t>
            </w:r>
          </w:p>
        </w:tc>
      </w:tr>
      <w:tr>
        <w:tc>
          <w:tcPr/>
          <w:p>
            <w:pPr>
              <w:pStyle w:val="Compact"/>
              <w:jc w:val="left"/>
            </w:pPr>
            <w:r>
              <w:t xml:space="preserve">Transport (Upstream &amp; Downstream)</w:t>
            </w:r>
          </w:p>
        </w:tc>
        <w:tc>
          <w:tcPr/>
          <w:p>
            <w:pPr>
              <w:pStyle w:val="Compact"/>
              <w:jc w:val="left"/>
            </w:pPr>
            <w:r>
              <w:t xml:space="preserve">Scope 3 (Category 4 &amp; 9)</w:t>
            </w:r>
          </w:p>
        </w:tc>
        <w:tc>
          <w:tcPr/>
          <w:p>
            <w:pPr>
              <w:pStyle w:val="Compact"/>
              <w:jc w:val="left"/>
            </w:pPr>
            <w:r>
              <w:t xml:space="preserve">0.41</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25.00</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0.03</w:t>
            </w:r>
          </w:p>
        </w:tc>
      </w:tr>
      <w:tr>
        <w:tc>
          <w:tcPr>
            <w:gridSpan w:val="2"/>
          </w:tcPr>
          <w:p>
            <w:pPr>
              <w:pStyle w:val="Compact"/>
              <w:jc w:val="left"/>
            </w:pPr>
            <w:r>
              <w:rPr>
                <w:bCs/>
                <w:b/>
              </w:rPr>
              <w:t xml:space="preserve">Total Product Carbon Footprint (per unit)</w:t>
            </w:r>
          </w:p>
        </w:tc>
        <w:tc>
          <w:tcPr/>
          <w:p>
            <w:pPr>
              <w:pStyle w:val="Compact"/>
              <w:jc w:val="left"/>
            </w:pPr>
            <w:r>
              <w:rPr>
                <w:bCs/>
                <w:b/>
              </w:rPr>
              <w:t xml:space="preserve">41.41</w:t>
            </w:r>
          </w:p>
        </w:tc>
      </w:tr>
    </w:tbl>
    <w:p>
      <w:r>
        <w:pict>
          <v:rect style="width:0;height:1.5pt" o:hralign="center" o:hrstd="t" o:hr="t"/>
        </w:pict>
      </w:r>
    </w:p>
    <w:bookmarkEnd w:id="42"/>
    <w:bookmarkStart w:id="43" w:name="review-hotspot-analysis-step-5"/>
    <w:p>
      <w:pPr>
        <w:pStyle w:val="Heading2"/>
      </w:pPr>
      <w:r>
        <w:t xml:space="preserve">6. Review &amp; Hotspot Analysis (Step 5)</w:t>
      </w:r>
    </w:p>
    <w:p>
      <w:pPr>
        <w:pStyle w:val="FirstParagraph"/>
      </w:pPr>
      <w:r>
        <w:t xml:space="preserve">The total Product Carbon Footprint for one unit of xopldfmzgg is 41.41 kg CO2e. The primary emission hotspots are:</w:t>
      </w:r>
    </w:p>
    <w:p>
      <w:pPr>
        <w:numPr>
          <w:ilvl w:val="0"/>
          <w:numId w:val="1014"/>
        </w:numPr>
        <w:pStyle w:val="Compact"/>
      </w:pPr>
      <w:r>
        <w:rPr>
          <w:bCs/>
          <w:b/>
        </w:rPr>
        <w:t xml:space="preserve">Use Phase (25.00 kg CO2e):</w:t>
      </w:r>
      <w:r>
        <w:t xml:space="preserve"> </w:t>
      </w:r>
      <w:r>
        <w:t xml:space="preserve">This stage accounts for approximately 60.4% of the total PCF. This is primarily driven by the assumed energy consumption of 20 kWh/year over a 5-year lifespan, even with Europe\'s relatively cleaner grid mix. Strategies to reduce this impact should focus on improving product energy efficiency and promoting the use of renewable energy by end-users.</w:t>
      </w:r>
    </w:p>
    <w:p>
      <w:pPr>
        <w:numPr>
          <w:ilvl w:val="0"/>
          <w:numId w:val="1014"/>
        </w:numPr>
        <w:pStyle w:val="Compact"/>
      </w:pPr>
      <w:r>
        <w:rPr>
          <w:bCs/>
          <w:b/>
        </w:rPr>
        <w:t xml:space="preserve">Material Acquisition &amp; Pre-processing (12.25 kg CO2e):</w:t>
      </w:r>
      <w:r>
        <w:t xml:space="preserve"> </w:t>
      </w:r>
      <w:r>
        <w:t xml:space="preserve">This stage contributes roughly 29.6% of the total PCF. The high impact here is largely due to energy-intensive materials like primary aluminum. Opportunities for reduction include sourcing lower-carbon alternative materials (e.g., recycled aluminum), optimizing material usage, and collaborating with suppliers to reduce their upstream emissions.</w:t>
      </w:r>
    </w:p>
    <w:p>
      <w:pPr>
        <w:numPr>
          <w:ilvl w:val="0"/>
          <w:numId w:val="1014"/>
        </w:numPr>
        <w:pStyle w:val="Compact"/>
      </w:pPr>
      <w:r>
        <w:rPr>
          <w:bCs/>
          <w:b/>
        </w:rPr>
        <w:t xml:space="preserve">Production (Electricity) (3.72 kg CO2e):</w:t>
      </w:r>
      <w:r>
        <w:t xml:space="preserve"> </w:t>
      </w:r>
      <w:r>
        <w:t xml:space="preserve">Representing about 9.0% of the total, these emissions are from the non-renewable portion of purchased electricity in China. Increasing renewable energy procurement beyond the current 60% and advocating for cleaner grid mixes in the production region can significantly lower this impact.</w:t>
      </w:r>
    </w:p>
    <w:p>
      <w:pPr>
        <w:numPr>
          <w:ilvl w:val="0"/>
          <w:numId w:val="1014"/>
        </w:numPr>
        <w:pStyle w:val="Compact"/>
      </w:pPr>
      <w:r>
        <w:rPr>
          <w:bCs/>
          <w:b/>
        </w:rPr>
        <w:t xml:space="preserve">Transport (0.41 kg CO2e) and End-of-Life (0.03 kg CO2e):</w:t>
      </w:r>
      <w:r>
        <w:t xml:space="preserve"> </w:t>
      </w:r>
      <w:r>
        <w:t xml:space="preserve">These stages contribute a smaller percentage to the overall PCF. While their absolute contribution is lower, optimizing logistics (e.g., route efficiency, switching to lower-emission transport modes) and enhancing circularity initiatives remain important for a holistic sustainability strategy.</w:t>
      </w:r>
    </w:p>
    <w:p>
      <w:pPr>
        <w:pStyle w:val="FirstParagraph"/>
      </w:pPr>
      <w:r>
        <w:t xml:space="preserve">The reliability of this report relies on the accuracy of provided primary data and the representativeness of the chosen secondary emission factors. Given the "factory-gate" boundary for core operations and a robust Scope 3 inclusion, the analysis provides a strong foundation for identifying key areas for carbon reduction initiatives within iiwxlvfdkh\'s value chain.</w:t>
      </w:r>
    </w:p>
    <w:p>
      <w:r>
        <w:pict>
          <v:rect style="width:0;height:1.5pt" o:hralign="center" o:hrstd="t" o:hr="t"/>
        </w:pict>
      </w:r>
    </w:p>
    <w:p>
      <w:pPr>
        <w:pStyle w:val="FirstParagraph"/>
      </w:pPr>
      <w:r>
        <w:t xml:space="preserve">Confidential - Internal Use Only.</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xopldfmzgg</dc:title>
  <dc:creator/>
  <dc:description>High-detail Product Carbon Footprint (PCF) analysis for xopldfmzgg, adhering to GHG Protocol standards and 2026 updates, conducted by mnjopvjnif for iiwxlvfdkh.</dc:description>
  <dc:language>en</dc:language>
  <cp:keywords/>
  <dcterms:created xsi:type="dcterms:W3CDTF">2026-05-30T19:25:12Z</dcterms:created>
  <dcterms:modified xsi:type="dcterms:W3CDTF">2026-05-30T19:25:12Z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