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xodqrtplvl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xodqrtplvl</w:t>
      </w:r>
    </w:p>
    <w:p>
      <w:pPr>
        <w:pStyle w:val="BodyText"/>
      </w:pPr>
      <w:r>
        <w:rPr>
          <w:bCs/>
          <w:b/>
        </w:rPr>
        <w:t xml:space="preserve">Company Name:</w:t>
      </w:r>
      <w:r>
        <w:t xml:space="preserve"> </w:t>
      </w:r>
      <w:r>
        <w:t xml:space="preserve">iodunivrhx</w:t>
      </w:r>
    </w:p>
    <w:p>
      <w:pPr>
        <w:pStyle w:val="BodyText"/>
      </w:pPr>
      <w:r>
        <w:rPr>
          <w:bCs/>
          <w:b/>
        </w:rPr>
        <w:t xml:space="preserve">Senior Sustainability Consultant:</w:t>
      </w:r>
      <w:r>
        <w:t xml:space="preserve"> </w:t>
      </w:r>
      <w:r>
        <w:t xml:space="preserve">gzjqxspwet</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for illustrative purposes and compliance demonstration. Actual results may vary based on precise primary data and methodologies.</w:t>
      </w:r>
    </w:p>
    <w:bookmarkEnd w:id="20"/>
    <w:bookmarkStart w:id="21" w:name="Xacabef1f55764f5db5f5f7ee227516e66aadcfb"/>
    <w:p>
      <w:pPr>
        <w:pStyle w:val="Heading1"/>
      </w:pPr>
      <w:r>
        <w:t xml:space="preserve">Product Carbon Footprint Analysis Report: xodqrtplvl</w:t>
      </w:r>
    </w:p>
    <w:p>
      <w:pPr>
        <w:pStyle w:val="FirstParagraph"/>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xodqrtplvl</w:t>
      </w:r>
      <w:r>
        <w:t xml:space="preserve"> </w:t>
      </w:r>
      <w:r>
        <w:t xml:space="preserve">manufactured by</w:t>
      </w:r>
      <w:r>
        <w:t xml:space="preserve"> </w:t>
      </w:r>
      <w:r>
        <w:rPr>
          <w:bCs/>
          <w:b/>
        </w:rPr>
        <w:t xml:space="preserve">iodunivrhx</w:t>
      </w:r>
      <w:r>
        <w:t xml:space="preserve">. Conducted by Senior Sustainability Consultant</w:t>
      </w:r>
      <w:r>
        <w:t xml:space="preserve"> </w:t>
      </w:r>
      <w:r>
        <w:rPr>
          <w:bCs/>
          <w:b/>
        </w:rPr>
        <w:t xml:space="preserve">gzjqxspwet</w:t>
      </w:r>
      <w:r>
        <w:t xml:space="preserve">, this analysis adheres to the GHG Protocol accounting standard, including the 2026 Land Sector and Removals (LSR) Standard. The assessment covers the full product lifecycle from raw material acquisition to end-of-life, with a specific focus on a Europe-focused supply chain and final production in China. The aim is to identify major emission hotspots across the value chain and provide insights for decarbonization efforts. This analysis ensures at least 95% coverage for Scope 3 emissions, aligning with 2026 reporting requirements.</w:t>
      </w:r>
    </w:p>
    <w:p>
      <w:r>
        <w:pict>
          <v:rect style="width:0;height:1.5pt" o:hralign="center" o:hrstd="t" o:hr="t"/>
        </w:pict>
      </w:r>
    </w:p>
    <w:bookmarkEnd w:id="22"/>
    <w:bookmarkStart w:id="30" w:name="introduction-methodology"/>
    <w:p>
      <w:pPr>
        <w:pStyle w:val="Heading2"/>
      </w:pPr>
      <w:r>
        <w:t xml:space="preserve">1. Introduction &amp; Methodology</w:t>
      </w:r>
    </w:p>
    <w:p>
      <w:pPr>
        <w:pStyle w:val="FirstParagraph"/>
      </w:pPr>
      <w:r>
        <w:t xml:space="preserve">The Product Carbon Footprint (PCF) quantifies the total greenhouse gas (GHG) emissions generated throughout a product\'s lifecycle. This assessment follows a structured five-step methodology as per the GHG Protocol Product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xodqrtplvl. This serves as the reference flow for all input and output data.</w:t>
      </w:r>
    </w:p>
    <w:p>
      <w:pPr>
        <w:numPr>
          <w:ilvl w:val="0"/>
          <w:numId w:val="1001"/>
        </w:numPr>
        <w:pStyle w:val="Compact"/>
      </w:pPr>
      <w:r>
        <w:rPr>
          <w:bCs/>
          <w:b/>
        </w:rPr>
        <w:t xml:space="preserve">System Boundary:</w:t>
      </w:r>
      <w:r>
        <w:t xml:space="preserve"> </w:t>
      </w:r>
      <w:r>
        <w:t xml:space="preserve">Factory-gate to end-of-life. This encompasses raw material extraction, manufacturing, transport to the factory, manufacturing at the factory (excluding final distribution to consumer, but including last-mile delivery and use-phase for comprehensive analysis), use, and end-of-life treatment.</w:t>
      </w:r>
    </w:p>
    <w:p>
      <w:pPr>
        <w:numPr>
          <w:ilvl w:val="0"/>
          <w:numId w:val="1001"/>
        </w:numPr>
        <w:pStyle w:val="Compact"/>
      </w:pPr>
      <w:r>
        <w:rPr>
          <w:bCs/>
          <w:b/>
        </w:rPr>
        <w:t xml:space="preserve">Geographic Scope:</w:t>
      </w:r>
      <w:r>
        <w:t xml:space="preserve"> </w:t>
      </w:r>
      <w:r>
        <w:t xml:space="preserve">Final production in China with a supply chain focus on Europe. This specifies the regional context for emission factors and energy grids.</w:t>
      </w:r>
    </w:p>
    <w:p>
      <w:pPr>
        <w:numPr>
          <w:ilvl w:val="0"/>
          <w:numId w:val="1001"/>
        </w:numPr>
        <w:pStyle w:val="Compact"/>
      </w:pPr>
      <w:r>
        <w:rPr>
          <w:bCs/>
          <w:b/>
        </w:rPr>
        <w:t xml:space="preserve">Allocation:</w:t>
      </w:r>
      <w:r>
        <w:t xml:space="preserve"> </w:t>
      </w:r>
      <w:r>
        <w:t xml:space="preserve">Emissions are allocated based on mass for co-products where applicable, and on a direct basis for processes directly attributable to the functional unit.</w:t>
      </w:r>
    </w:p>
    <w:bookmarkEnd w:id="23"/>
    <w:bookmarkStart w:id="24" w:name="map-lifecycle-lci-inventory-stages"/>
    <w:p>
      <w:pPr>
        <w:pStyle w:val="Heading3"/>
      </w:pPr>
      <w:r>
        <w:t xml:space="preserve">1.2. Map Lifecycle (LCI Inventory Stages)</w:t>
      </w:r>
    </w:p>
    <w:p>
      <w:pPr>
        <w:pStyle w:val="FirstParagraph"/>
      </w:pPr>
      <w:r>
        <w:t xml:space="preserve">The lifecycle of xodqrtplvl is mapped across key stages, detailing material and energy inputs. This analysis considers the following stages:</w:t>
      </w:r>
    </w:p>
    <w:p>
      <w:pPr>
        <w:numPr>
          <w:ilvl w:val="0"/>
          <w:numId w:val="1002"/>
        </w:numPr>
        <w:pStyle w:val="Compact"/>
      </w:pPr>
      <w:r>
        <w:rPr>
          <w:bCs/>
          <w:b/>
        </w:rPr>
        <w:t xml:space="preserve">Raw Material Acquisition &amp; Pre-processing:</w:t>
      </w:r>
      <w:r>
        <w:t xml:space="preserve"> </w:t>
      </w:r>
      <w:r>
        <w:t xml:space="preserve">Extraction, cultivation, and initial processing of raw materials.</w:t>
      </w:r>
    </w:p>
    <w:p>
      <w:pPr>
        <w:numPr>
          <w:ilvl w:val="0"/>
          <w:numId w:val="1002"/>
        </w:numPr>
        <w:pStyle w:val="Compact"/>
      </w:pPr>
      <w:r>
        <w:rPr>
          <w:bCs/>
          <w:b/>
        </w:rPr>
        <w:t xml:space="preserve">Manufacturing/Production:</w:t>
      </w:r>
      <w:r>
        <w:t xml:space="preserve"> </w:t>
      </w:r>
      <w:r>
        <w:t xml:space="preserve">Transformation of raw materials into intermediate components and final product assembly.</w:t>
      </w:r>
    </w:p>
    <w:p>
      <w:pPr>
        <w:numPr>
          <w:ilvl w:val="0"/>
          <w:numId w:val="1002"/>
        </w:numPr>
        <w:pStyle w:val="Compact"/>
      </w:pPr>
      <w:r>
        <w:rPr>
          <w:bCs/>
          <w:b/>
        </w:rPr>
        <w:t xml:space="preserve">Transport:</w:t>
      </w:r>
      <w:r>
        <w:t xml:space="preserve"> </w:t>
      </w:r>
      <w:r>
        <w:t xml:space="preserve">Logistics from suppliers to the factory gate, and from factory to distribution centers/consumers.</w:t>
      </w:r>
    </w:p>
    <w:p>
      <w:pPr>
        <w:numPr>
          <w:ilvl w:val="0"/>
          <w:numId w:val="1002"/>
        </w:numPr>
        <w:pStyle w:val="Compact"/>
      </w:pPr>
      <w:r>
        <w:rPr>
          <w:bCs/>
          <w:b/>
        </w:rPr>
        <w:t xml:space="preserve">Use Phase:</w:t>
      </w:r>
      <w:r>
        <w:t xml:space="preserve"> </w:t>
      </w:r>
      <w:r>
        <w:t xml:space="preserve">Energy consumption, maintenance, and potential consumables during the product\'s operational life.</w:t>
      </w:r>
    </w:p>
    <w:p>
      <w:pPr>
        <w:numPr>
          <w:ilvl w:val="0"/>
          <w:numId w:val="1002"/>
        </w:numPr>
        <w:pStyle w:val="Compact"/>
      </w:pPr>
      <w:r>
        <w:rPr>
          <w:bCs/>
          <w:b/>
        </w:rPr>
        <w:t xml:space="preserve">End-of-Life (EoL):</w:t>
      </w:r>
      <w:r>
        <w:t xml:space="preserve"> </w:t>
      </w:r>
      <w:r>
        <w:t xml:space="preserve">Collection, recycling, landfilling, or incineration processes.</w:t>
      </w:r>
    </w:p>
    <w:p>
      <w:pPr>
        <w:pStyle w:val="FirstParagraph"/>
      </w:pPr>
      <w:r>
        <w:t xml:space="preserve">A detailed breakdown of materials from the Bill of Materials (BOM)</w:t>
      </w:r>
      <w:r>
        <w:t xml:space="preserve"> </w:t>
      </w:r>
      <w:r>
        <w:rPr>
          <w:bCs/>
          <w:b/>
        </w:rPr>
        <w:t xml:space="preserve">tdzjgmpo</w:t>
      </w:r>
      <w:r>
        <w:t xml:space="preserve"> </w:t>
      </w:r>
      <w:r>
        <w:t xml:space="preserve">and energy inputs are crucial for this stage.</w:t>
      </w:r>
    </w:p>
    <w:bookmarkEnd w:id="24"/>
    <w:bookmarkStart w:id="27" w:name="Xb57f50a89bf1f3f1837369be949d9d60d6c1272"/>
    <w:p>
      <w:pPr>
        <w:pStyle w:val="Heading3"/>
      </w:pPr>
      <w:r>
        <w:t xml:space="preserve">1.3. Collect Data (Primary/Secondary Data Points)</w:t>
      </w:r>
    </w:p>
    <w:p>
      <w:pPr>
        <w:pStyle w:val="FirstParagraph"/>
      </w:pPr>
      <w:r>
        <w:t xml:space="preserve">Data collection involves gathering specific information on activities and associated emission factors. For</w:t>
      </w:r>
      <w:r>
        <w:t xml:space="preserve"> </w:t>
      </w:r>
      <w:r>
        <w:rPr>
          <w:bCs/>
          <w:b/>
        </w:rPr>
        <w:t xml:space="preserve">xodqrtplvl</w:t>
      </w:r>
      <w:r>
        <w:t xml:space="preserve">, both primary and secondary data are utilized.</w:t>
      </w:r>
    </w:p>
    <w:bookmarkStart w:id="25" w:name="X2a70890f3f0136a9791299c11e28746597273d4"/>
    <w:p>
      <w:pPr>
        <w:pStyle w:val="Heading4"/>
      </w:pPr>
      <w:r>
        <w:t xml:space="preserve">Detailed Bill of Materials (BOM) Data (tdzjgmpo):</w:t>
      </w:r>
    </w:p>
    <w:p>
      <w:pPr>
        <w:pStyle w:val="FirstParagraph"/>
      </w:pPr>
      <w:r>
        <w:t xml:space="preserve">The following detailed Bill of Materials (BOM) for</w:t>
      </w:r>
      <w:r>
        <w:t xml:space="preserve"> </w:t>
      </w:r>
      <w:r>
        <w:rPr>
          <w:bCs/>
          <w:b/>
        </w:rPr>
        <w:t xml:space="preserve">xodqrtplvl</w:t>
      </w:r>
      <w:r>
        <w:t xml:space="preserve"> </w:t>
      </w:r>
      <w:r>
        <w:t xml:space="preserve">was used to calculate material impacts, ensuring high-accuracy instead of default estimates. The specific values provided for this placeholder are illustrative, guided by typical industry emission factors from sources like Ecoinvent and DEFRA.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bl>
    <w:p>
      <w:pPr>
        <w:pStyle w:val="BodyText"/>
      </w:pPr>
      <w:r>
        <w:t xml:space="preserve">*Note: Emission Factors and Total Carbon values for BOM items are illustrative based on typical industry averages from sources like Ecoinvent for primary aluminum production (approx. 12-14.77 kg CO2e/kg), plastic production (various types, e.g., 1.5-5 kg CO2e/kg), and copper production (approx. 5 kg CO2e/kg) for the purpose of this report, integrating the structure of the provided \'tdzjgmpo\' data.</w:t>
      </w:r>
    </w:p>
    <w:bookmarkEnd w:id="25"/>
    <w:bookmarkStart w:id="26" w:name="energy-and-logistics-data"/>
    <w:p>
      <w:pPr>
        <w:pStyle w:val="Heading4"/>
      </w:pPr>
      <w:r>
        <w:t xml:space="preserve">Energy and Logistics Data:</w:t>
      </w:r>
    </w:p>
    <w:p>
      <w:pPr>
        <w:pStyle w:val="FirstParagraph"/>
      </w:pPr>
      <w:r>
        <w:t xml:space="preserve">The following parameters for energy and logistics are incorporated, with illustrative values provided for clarity where the original input was a placeholder string:</w:t>
      </w:r>
    </w:p>
    <w:p>
      <w:pPr>
        <w:numPr>
          <w:ilvl w:val="0"/>
          <w:numId w:val="1003"/>
        </w:numPr>
        <w:pStyle w:val="Compact"/>
      </w:pPr>
      <w:r>
        <w:rPr>
          <w:bCs/>
          <w:b/>
        </w:rPr>
        <w:t xml:space="preserve">Renewable Energy Usage (Production):</w:t>
      </w:r>
      <w:r>
        <w:t xml:space="preserve"> </w:t>
      </w:r>
      <w:r>
        <w:t xml:space="preserve">fizhmgppuw (e.g., 60%)</w:t>
      </w:r>
    </w:p>
    <w:p>
      <w:pPr>
        <w:numPr>
          <w:ilvl w:val="0"/>
          <w:numId w:val="1003"/>
        </w:numPr>
        <w:pStyle w:val="Compact"/>
      </w:pPr>
      <w:r>
        <w:rPr>
          <w:bCs/>
          <w:b/>
        </w:rPr>
        <w:t xml:space="preserve">Energy Intensity (Production):</w:t>
      </w:r>
      <w:r>
        <w:t xml:space="preserve"> </w:t>
      </w:r>
      <w:r>
        <w:t xml:space="preserve">hgwkkplmez (e.g., 1.5 kWh/unit)</w:t>
      </w:r>
    </w:p>
    <w:p>
      <w:pPr>
        <w:numPr>
          <w:ilvl w:val="0"/>
          <w:numId w:val="1003"/>
        </w:numPr>
        <w:pStyle w:val="Compact"/>
      </w:pPr>
      <w:r>
        <w:rPr>
          <w:bCs/>
          <w:b/>
        </w:rPr>
        <w:t xml:space="preserve">Transport Mode:</w:t>
      </w:r>
      <w:r>
        <w:t xml:space="preserve"> </w:t>
      </w:r>
      <w:r>
        <w:t xml:space="preserve">Select Mode (e.g., Road Freight)</w:t>
      </w:r>
    </w:p>
    <w:p>
      <w:pPr>
        <w:numPr>
          <w:ilvl w:val="0"/>
          <w:numId w:val="1003"/>
        </w:numPr>
        <w:pStyle w:val="Compact"/>
      </w:pPr>
      <w:r>
        <w:rPr>
          <w:bCs/>
          <w:b/>
        </w:rPr>
        <w:t xml:space="preserve">Transport Distance:</w:t>
      </w:r>
      <w:r>
        <w:t xml:space="preserve"> </w:t>
      </w:r>
      <w:r>
        <w:t xml:space="preserve">xvtisriruk (e.g., 1500 km)</w:t>
      </w:r>
    </w:p>
    <w:p>
      <w:pPr>
        <w:numPr>
          <w:ilvl w:val="0"/>
          <w:numId w:val="1003"/>
        </w:numPr>
        <w:pStyle w:val="Compact"/>
      </w:pPr>
      <w:r>
        <w:rPr>
          <w:bCs/>
          <w:b/>
        </w:rPr>
        <w:t xml:space="preserve">Last-Mile Delivery Channel:</w:t>
      </w:r>
      <w:r>
        <w:t xml:space="preserve"> </w:t>
      </w:r>
      <w:r>
        <w:t xml:space="preserve">Delivery Type (e.g., Parcel Post)</w:t>
      </w:r>
    </w:p>
    <w:p>
      <w:pPr>
        <w:numPr>
          <w:ilvl w:val="0"/>
          <w:numId w:val="1003"/>
        </w:numPr>
        <w:pStyle w:val="Compact"/>
      </w:pPr>
      <w:r>
        <w:rPr>
          <w:bCs/>
          <w:b/>
        </w:rPr>
        <w:t xml:space="preserve">Product Lifespan:</w:t>
      </w:r>
      <w:r>
        <w:t xml:space="preserve"> </w:t>
      </w:r>
      <w:r>
        <w:t xml:space="preserve">zkomntxrgr (e.g., 5 years)</w:t>
      </w:r>
    </w:p>
    <w:p>
      <w:pPr>
        <w:numPr>
          <w:ilvl w:val="0"/>
          <w:numId w:val="1003"/>
        </w:numPr>
        <w:pStyle w:val="Compact"/>
      </w:pPr>
      <w:r>
        <w:rPr>
          <w:bCs/>
          <w:b/>
        </w:rPr>
        <w:t xml:space="preserve">Energy Consumption in Use:</w:t>
      </w:r>
      <w:r>
        <w:t xml:space="preserve"> </w:t>
      </w:r>
      <w:r>
        <w:t xml:space="preserve">nqiximzewh (e.g., 10 kWh/year)</w:t>
      </w:r>
    </w:p>
    <w:p>
      <w:pPr>
        <w:numPr>
          <w:ilvl w:val="0"/>
          <w:numId w:val="1003"/>
        </w:numPr>
        <w:pStyle w:val="Compact"/>
      </w:pPr>
      <w:r>
        <w:rPr>
          <w:bCs/>
          <w:b/>
        </w:rPr>
        <w:t xml:space="preserve">Recyclability Percentage (EoL):</w:t>
      </w:r>
      <w:r>
        <w:t xml:space="preserve"> </w:t>
      </w:r>
      <w:r>
        <w:t xml:space="preserve">yzeurinvhn (e.g., 75%)</w:t>
      </w:r>
    </w:p>
    <w:p>
      <w:pPr>
        <w:numPr>
          <w:ilvl w:val="0"/>
          <w:numId w:val="1003"/>
        </w:numPr>
        <w:pStyle w:val="Compact"/>
      </w:pPr>
      <w:r>
        <w:rPr>
          <w:bCs/>
          <w:b/>
        </w:rPr>
        <w:t xml:space="preserve">Circular/Take-back Programs (EoL):</w:t>
      </w:r>
      <w:r>
        <w:t xml:space="preserve"> </w:t>
      </w:r>
      <w:r>
        <w:t xml:space="preserve">zpqvpowpzr (e.g., Existing take-back scheme with material recovery)</w:t>
      </w:r>
    </w:p>
    <w:p>
      <w:pPr>
        <w:pStyle w:val="FirstParagraph"/>
      </w:pPr>
      <w:r>
        <w:t xml:space="preserve">Secondary data, such as industry-average emission factors for various processes, energy grids, and transport modes, are sourced from databases like Ecoinvent and DEFRA (where primary data is unavailable or insufficient).</w:t>
      </w:r>
    </w:p>
    <w:bookmarkEnd w:id="26"/>
    <w:bookmarkEnd w:id="27"/>
    <w:bookmarkStart w:id="28" w:name="Xb404f6bea4a0013006ec7a9103609d9ea6643c1"/>
    <w:p>
      <w:pPr>
        <w:pStyle w:val="Heading3"/>
      </w:pPr>
      <w:r>
        <w:t xml:space="preserve">1.4. Calculate Emissions (Activity * Emission Factor = CO2e)</w:t>
      </w:r>
    </w:p>
    <w:p>
      <w:pPr>
        <w:pStyle w:val="FirstParagraph"/>
      </w:pPr>
      <w:r>
        <w:t xml:space="preserve">Emissions for each lifecycle stage are calculated by multiplying the activity data (e.g., kg of material, kWh of energy, km of transport) by its corresponding emission factor (e.g., kg CO2e/kg material, kg CO2e/kWh, kg CO2e/tkm). All GHGs (CO2, CH4, N2O, etc.) are converted to CO2 equivalents (CO2e) using their respective Global Warming Potentials (GWPs) from the IPCC Fifth Assessment Report (AR5).</w:t>
      </w:r>
    </w:p>
    <w:bookmarkEnd w:id="28"/>
    <w:bookmarkStart w:id="29" w:name="review-report"/>
    <w:p>
      <w:pPr>
        <w:pStyle w:val="Heading3"/>
      </w:pPr>
      <w:r>
        <w:t xml:space="preserve">1.5. Review &amp; Report</w:t>
      </w:r>
    </w:p>
    <w:p>
      <w:pPr>
        <w:pStyle w:val="FirstParagraph"/>
      </w:pPr>
      <w:r>
        <w:t xml:space="preserve">The final step involves reviewing the calculations for accuracy and completeness, identifying emission hotspots, and reporting the results. This includes sensitivity analysis and uncertainty assessment to ensure the reliability of the findings.</w:t>
      </w:r>
    </w:p>
    <w:p>
      <w:r>
        <w:pict>
          <v:rect style="width:0;height:1.5pt" o:hralign="center" o:hrstd="t" o:hr="t"/>
        </w:pict>
      </w:r>
    </w:p>
    <w:bookmarkEnd w:id="29"/>
    <w:bookmarkEnd w:id="30"/>
    <w:bookmarkStart w:id="37" w:name="ghg-protocol-compliance-2026-lsr-update"/>
    <w:p>
      <w:pPr>
        <w:pStyle w:val="Heading2"/>
      </w:pPr>
      <w:r>
        <w:t xml:space="preserve">2. GHG Protocol Compliance &amp; 2026 LSR Update</w:t>
      </w:r>
    </w:p>
    <w:p>
      <w:pPr>
        <w:pStyle w:val="FirstParagraph"/>
      </w:pPr>
      <w:r>
        <w:t xml:space="preserve">This PCF analysis strictly adheres to the GHG Protocol Product Standard, categorizing emissions into Scope 1, 2, and 3. Furthermore, it incorporates the requirements of the 2026 Land Sector and Removals (LSR) Standard.</w:t>
      </w:r>
    </w:p>
    <w:bookmarkStart w:id="31" w:name="scope-1-direct-emissions"/>
    <w:p>
      <w:pPr>
        <w:pStyle w:val="Heading3"/>
      </w:pPr>
      <w:r>
        <w:t xml:space="preserve">2.1. Scope 1: Direct Emissions</w:t>
      </w:r>
    </w:p>
    <w:p>
      <w:pPr>
        <w:pStyle w:val="FirstParagraph"/>
      </w:pPr>
      <w:r>
        <w:t xml:space="preserve">Scope 1 emissions cover direct GHG emissions from sources owned or controlled by iodunivrhx during the production of xodqrtplvl. For a \'factory-gate\' boundary, this primarily includes on-site combustion of fuels (e.g., for heating or process energy) and process emissions directly related to manufacturing activities not covered by purchased energy. In this analysis, while specific fuel consumption data for Scope 1 is not provided, it is acknowledged as a component within the overall production footprint. For this report, we assume minimal direct combustion at the production facility for xodqrtplvl\'s final assembly, with most energy being purchased electricity.</w:t>
      </w:r>
    </w:p>
    <w:bookmarkEnd w:id="31"/>
    <w:bookmarkStart w:id="32" w:name="scope-2-purchased-energy-emissions"/>
    <w:p>
      <w:pPr>
        <w:pStyle w:val="Heading3"/>
      </w:pPr>
      <w:r>
        <w:t xml:space="preserve">2.2. Scope 2: Purchased Energy Emissions</w:t>
      </w:r>
    </w:p>
    <w:p>
      <w:pPr>
        <w:pStyle w:val="FirstParagraph"/>
      </w:pPr>
      <w:r>
        <w:t xml:space="preserve">Scope 2 emissions account for GHG emissions from the generation of purchased electricity, steam, heating, or cooling consumed by iodunivrhx in the production of xodqrtplvl. The energy intensity for production is</w:t>
      </w:r>
      <w:r>
        <w:t xml:space="preserve"> </w:t>
      </w:r>
      <w:r>
        <w:rPr>
          <w:bCs/>
          <w:b/>
        </w:rPr>
        <w:t xml:space="preserve">hgwkkplmez</w:t>
      </w:r>
      <w:r>
        <w:t xml:space="preserve"> </w:t>
      </w:r>
      <w:r>
        <w:t xml:space="preserve">(e.g., 1.5 kWh/unit). Given</w:t>
      </w:r>
      <w:r>
        <w:t xml:space="preserve"> </w:t>
      </w:r>
      <w:r>
        <w:rPr>
          <w:bCs/>
          <w:b/>
        </w:rPr>
        <w:t xml:space="preserve">fizhmgppuw</w:t>
      </w:r>
      <w:r>
        <w:t xml:space="preserve"> </w:t>
      </w:r>
      <w:r>
        <w:t xml:space="preserve">(e.g., 60%) renewable energy usage, the grid electricity emission factor is adjusted accordingly to reflect the company\'s decarbonization efforts for its operational emissions.</w:t>
      </w:r>
    </w:p>
    <w:p>
      <w:pPr>
        <w:pStyle w:val="BodyText"/>
      </w:pPr>
      <w:r>
        <w:rPr>
          <w:iCs/>
          <w:i/>
        </w:rPr>
        <w:t xml:space="preserve">Illustrative Calculation:</w:t>
      </w:r>
    </w:p>
    <w:p>
      <w:pPr>
        <w:numPr>
          <w:ilvl w:val="0"/>
          <w:numId w:val="1004"/>
        </w:numPr>
        <w:pStyle w:val="Compact"/>
      </w:pPr>
      <w:r>
        <w:t xml:space="preserve">Assumed China Grid Emission Factor (location-based, 2023 average): 0.62 kg CO2e/kWh</w:t>
      </w:r>
    </w:p>
    <w:p>
      <w:pPr>
        <w:numPr>
          <w:ilvl w:val="0"/>
          <w:numId w:val="1004"/>
        </w:numPr>
        <w:pStyle w:val="Compact"/>
      </w:pPr>
      <w:r>
        <w:t xml:space="preserve">Effective Grid Emission Factor (adjusted for 60% renewable usage): 0.62 kg CO2e/kWh * (1 - 0.60) = 0.248 kg CO2e/kWh</w:t>
      </w:r>
    </w:p>
    <w:p>
      <w:pPr>
        <w:numPr>
          <w:ilvl w:val="0"/>
          <w:numId w:val="1004"/>
        </w:numPr>
        <w:pStyle w:val="Compact"/>
      </w:pPr>
      <w:r>
        <w:t xml:space="preserve">Scope 2 Emissions (Production): 1.5 kWh/unit * 0.248 kg CO2e/kWh = 0.372 kg CO2e/unit</w:t>
      </w:r>
    </w:p>
    <w:bookmarkEnd w:id="32"/>
    <w:bookmarkStart w:id="35" w:name="X6abae84f7f37134f554be42fde6379407976b44"/>
    <w:p>
      <w:pPr>
        <w:pStyle w:val="Heading3"/>
      </w:pPr>
      <w:r>
        <w:t xml:space="preserve">2.3. Scope 3: Value Chain Emissions (95% Coverage)</w:t>
      </w:r>
    </w:p>
    <w:p>
      <w:pPr>
        <w:pStyle w:val="FirstParagraph"/>
      </w:pPr>
      <w:r>
        <w:t xml:space="preserve">Scope 3 emissions are all indirect emissions (not included in Scope 2) that occur in the value chain of iodunivrhx, both upstream and downstream. This analysis aims for at least 95% coverage as per 2026 requirements, focusing on the most material categories for xodqrtplvl.</w:t>
      </w:r>
    </w:p>
    <w:bookmarkStart w:id="33" w:name="upstream-emissions"/>
    <w:p>
      <w:pPr>
        <w:pStyle w:val="Heading4"/>
      </w:pPr>
      <w:r>
        <w:t xml:space="preserve">Upstream Emissions:</w:t>
      </w:r>
    </w:p>
    <w:p>
      <w:pPr>
        <w:numPr>
          <w:ilvl w:val="0"/>
          <w:numId w:val="1005"/>
        </w:numPr>
        <w:pStyle w:val="Compact"/>
      </w:pPr>
      <w:r>
        <w:rPr>
          <w:bCs/>
          <w:b/>
        </w:rPr>
        <w:t xml:space="preserve">Purchased Goods and Services (Materials):</w:t>
      </w:r>
      <w:r>
        <w:t xml:space="preserve"> </w:t>
      </w:r>
      <w:r>
        <w:t xml:space="preserve">This is a significant hotspot, directly derived from the detailed BOM (tdzjgmpo).</w:t>
      </w:r>
    </w:p>
    <w:p>
      <w:pPr>
        <w:numPr>
          <w:ilvl w:val="1"/>
          <w:numId w:val="1006"/>
        </w:numPr>
        <w:pStyle w:val="Compact"/>
      </w:pPr>
      <w:r>
        <w:t xml:space="preserve">Aluminum Casing: 6.0 kg CO2e</w:t>
      </w:r>
    </w:p>
    <w:p>
      <w:pPr>
        <w:numPr>
          <w:ilvl w:val="1"/>
          <w:numId w:val="1006"/>
        </w:numPr>
        <w:pStyle w:val="Compact"/>
      </w:pPr>
      <w:r>
        <w:t xml:space="preserve">Plastic Housing: 2.8 kg CO2e</w:t>
      </w:r>
    </w:p>
    <w:p>
      <w:pPr>
        <w:numPr>
          <w:ilvl w:val="1"/>
          <w:numId w:val="1006"/>
        </w:numPr>
        <w:pStyle w:val="Compact"/>
      </w:pPr>
      <w:r>
        <w:t xml:space="preserve">Printed Circuit Board (PCB): 5.0 kg CO2e</w:t>
      </w:r>
    </w:p>
    <w:p>
      <w:pPr>
        <w:numPr>
          <w:ilvl w:val="1"/>
          <w:numId w:val="1006"/>
        </w:numPr>
        <w:pStyle w:val="Compact"/>
      </w:pPr>
      <w:r>
        <w:t xml:space="preserve">Copper Wire: 0.5 kg CO2e</w:t>
      </w:r>
    </w:p>
    <w:p>
      <w:pPr>
        <w:numPr>
          <w:ilvl w:val="1"/>
          <w:numId w:val="1006"/>
        </w:numPr>
        <w:pStyle w:val="Compact"/>
      </w:pPr>
      <w:r>
        <w:rPr>
          <w:bCs/>
          <w:b/>
        </w:rPr>
        <w:t xml:space="preserve">Subtotal Material Emissions: 14.3 kg CO2e</w:t>
      </w:r>
    </w:p>
    <w:p>
      <w:pPr>
        <w:numPr>
          <w:ilvl w:val="0"/>
          <w:numId w:val="1005"/>
        </w:numPr>
        <w:pStyle w:val="Compact"/>
      </w:pPr>
      <w:r>
        <w:rPr>
          <w:bCs/>
          <w:b/>
        </w:rPr>
        <w:t xml:space="preserve">Capital Goods:</w:t>
      </w:r>
      <w:r>
        <w:t xml:space="preserve"> </w:t>
      </w:r>
      <w:r>
        <w:t xml:space="preserve">Emissions from the production of manufacturing equipment and infrastructure are typically allocated over many years and units. For this product-level PCF, they are assumed to be minor on a per-unit basis and are excluded from the 95% coverage calculation as per materiality assessment.</w:t>
      </w:r>
    </w:p>
    <w:p>
      <w:pPr>
        <w:numPr>
          <w:ilvl w:val="0"/>
          <w:numId w:val="1005"/>
        </w:numPr>
        <w:pStyle w:val="Compact"/>
      </w:pPr>
      <w:r>
        <w:rPr>
          <w:bCs/>
          <w:b/>
        </w:rPr>
        <w:t xml:space="preserve">Fuel- and Energy-Related Activities (not included in Scope 1 or 2):</w:t>
      </w:r>
      <w:r>
        <w:t xml:space="preserve"> </w:t>
      </w:r>
      <w:r>
        <w:t xml:space="preserve">Upstream emissions from the extraction, production, and transportation of fuels and energy purchased by the company. These are often embedded in Scope 2 emission factors for electricity but are acknowledged.</w:t>
      </w:r>
    </w:p>
    <w:p>
      <w:pPr>
        <w:numPr>
          <w:ilvl w:val="0"/>
          <w:numId w:val="1005"/>
        </w:numPr>
        <w:pStyle w:val="Compact"/>
      </w:pPr>
      <w:r>
        <w:rPr>
          <w:bCs/>
          <w:b/>
        </w:rPr>
        <w:t xml:space="preserve">Upstream Transportation and Distribution:</w:t>
      </w:r>
      <w:r>
        <w:t xml:space="preserve"> </w:t>
      </w:r>
      <w:r>
        <w:t xml:space="preserve">This includes transport of materials from European suppliers to the manufacturing facility in China.</w:t>
      </w:r>
    </w:p>
    <w:p>
      <w:pPr>
        <w:numPr>
          <w:ilvl w:val="1"/>
          <w:numId w:val="1007"/>
        </w:numPr>
        <w:pStyle w:val="Compact"/>
      </w:pPr>
      <w:r>
        <w:t xml:space="preserve">Transport Mode: Select Mode (e.g., Road Freight)</w:t>
      </w:r>
    </w:p>
    <w:p>
      <w:pPr>
        <w:numPr>
          <w:ilvl w:val="1"/>
          <w:numId w:val="1007"/>
        </w:numPr>
        <w:pStyle w:val="Compact"/>
      </w:pPr>
      <w:r>
        <w:t xml:space="preserve">Transport Distance: xvtisriruk (e.g., 1500 km)</w:t>
      </w:r>
    </w:p>
    <w:p>
      <w:pPr>
        <w:numPr>
          <w:ilvl w:val="1"/>
          <w:numId w:val="1007"/>
        </w:numPr>
        <w:pStyle w:val="Compact"/>
      </w:pPr>
      <w:r>
        <w:t xml:space="preserve">Assumed Load Factor: 70% (typical for efficiency, but ecoinvent often uses average load factors)</w:t>
      </w:r>
    </w:p>
    <w:p>
      <w:pPr>
        <w:numPr>
          <w:ilvl w:val="1"/>
          <w:numId w:val="1007"/>
        </w:numPr>
        <w:pStyle w:val="Compact"/>
      </w:pPr>
      <w:r>
        <w:t xml:space="preserve">Illustrative Road Freight Emission Factor (Europe, e.g., &gt;32t lorry, Euro 6 diesel): 0.08 kg CO2e/tkm (based on general industry averages from sources like Ecoinvent)</w:t>
      </w:r>
    </w:p>
    <w:p>
      <w:pPr>
        <w:numPr>
          <w:ilvl w:val="1"/>
          <w:numId w:val="1007"/>
        </w:numPr>
        <w:pStyle w:val="Compact"/>
      </w:pPr>
      <w:r>
        <w:t xml:space="preserve">Assumed Product Weight for raw materials: Sum of BOM quantities = 0.5 + 0.8 + 0.2 + 0.1 = 1.6 kg = 0.0016 tonnes</w:t>
      </w:r>
    </w:p>
    <w:p>
      <w:pPr>
        <w:numPr>
          <w:ilvl w:val="1"/>
          <w:numId w:val="1007"/>
        </w:numPr>
        <w:pStyle w:val="Compact"/>
      </w:pPr>
      <w:r>
        <w:rPr>
          <w:iCs/>
          <w:i/>
        </w:rPr>
        <w:t xml:space="preserve">Illustrative Calculation:</w:t>
      </w:r>
      <w:r>
        <w:t xml:space="preserve"> </w:t>
      </w:r>
      <w:r>
        <w:t xml:space="preserve">0.0016 tonnes * 1500 km * 0.08 kg CO2e/tkm = 0.192 kg CO2e</w:t>
      </w:r>
    </w:p>
    <w:p>
      <w:pPr>
        <w:numPr>
          <w:ilvl w:val="0"/>
          <w:numId w:val="1005"/>
        </w:numPr>
        <w:pStyle w:val="Compact"/>
      </w:pPr>
      <w:r>
        <w:rPr>
          <w:bCs/>
          <w:b/>
        </w:rPr>
        <w:t xml:space="preserve">Waste Generated in Operations:</w:t>
      </w:r>
      <w:r>
        <w:t xml:space="preserve"> </w:t>
      </w:r>
      <w:r>
        <w:t xml:space="preserve">Emissions from waste disposal from iodunivrhx\'s operations are considered minor and allocated for this PCF, not explicitly calculated in detail for 95% coverage.</w:t>
      </w:r>
    </w:p>
    <w:bookmarkEnd w:id="33"/>
    <w:bookmarkStart w:id="34" w:name="downstream-emissions"/>
    <w:p>
      <w:pPr>
        <w:pStyle w:val="Heading4"/>
      </w:pPr>
      <w:r>
        <w:t xml:space="preserve">Downstream Emissions:</w:t>
      </w:r>
    </w:p>
    <w:p>
      <w:pPr>
        <w:numPr>
          <w:ilvl w:val="0"/>
          <w:numId w:val="1008"/>
        </w:numPr>
        <w:pStyle w:val="Compact"/>
      </w:pPr>
      <w:r>
        <w:rPr>
          <w:bCs/>
          <w:b/>
        </w:rPr>
        <w:t xml:space="preserve">Downstream Transportation and Distribution (Last-Mile Delivery):</w:t>
      </w:r>
    </w:p>
    <w:p>
      <w:pPr>
        <w:numPr>
          <w:ilvl w:val="1"/>
          <w:numId w:val="1009"/>
        </w:numPr>
        <w:pStyle w:val="Compact"/>
      </w:pPr>
      <w:r>
        <w:t xml:space="preserve">Last-Mile Delivery Channel: Delivery Type (e.g., Parcel Post)</w:t>
      </w:r>
    </w:p>
    <w:p>
      <w:pPr>
        <w:numPr>
          <w:ilvl w:val="1"/>
          <w:numId w:val="1009"/>
        </w:numPr>
        <w:pStyle w:val="Compact"/>
      </w:pPr>
      <w:r>
        <w:t xml:space="preserve">Illustrative Last-Mile Emission Factor: 0.1 kg CO2e/unit (for parcel post, typical average)</w:t>
      </w:r>
    </w:p>
    <w:p>
      <w:pPr>
        <w:numPr>
          <w:ilvl w:val="1"/>
          <w:numId w:val="1009"/>
        </w:numPr>
        <w:pStyle w:val="Compact"/>
      </w:pPr>
      <w:r>
        <w:rPr>
          <w:iCs/>
          <w:i/>
        </w:rPr>
        <w:t xml:space="preserve">Illustrative Calculation:</w:t>
      </w:r>
      <w:r>
        <w:t xml:space="preserve"> </w:t>
      </w:r>
      <w:r>
        <w:t xml:space="preserve">1 unit * 0.1 kg CO2e/unit = 0.1 kg CO2e</w:t>
      </w:r>
    </w:p>
    <w:p>
      <w:pPr>
        <w:numPr>
          <w:ilvl w:val="0"/>
          <w:numId w:val="1008"/>
        </w:numPr>
        <w:pStyle w:val="Compact"/>
      </w:pPr>
      <w:r>
        <w:rPr>
          <w:bCs/>
          <w:b/>
        </w:rPr>
        <w:t xml:space="preserve">Use of Sold Products:</w:t>
      </w:r>
      <w:r>
        <w:t xml:space="preserve"> </w:t>
      </w:r>
      <w:r>
        <w:t xml:space="preserve">Energy consumption during the product\'s operational life.</w:t>
      </w:r>
    </w:p>
    <w:p>
      <w:pPr>
        <w:numPr>
          <w:ilvl w:val="1"/>
          <w:numId w:val="1010"/>
        </w:numPr>
        <w:pStyle w:val="Compact"/>
      </w:pPr>
      <w:r>
        <w:t xml:space="preserve">Product Lifespan: zkomntxrgr (e.g., 5 years)</w:t>
      </w:r>
    </w:p>
    <w:p>
      <w:pPr>
        <w:numPr>
          <w:ilvl w:val="1"/>
          <w:numId w:val="1010"/>
        </w:numPr>
        <w:pStyle w:val="Compact"/>
      </w:pPr>
      <w:r>
        <w:t xml:space="preserve">Energy Consumption in Use: nqiximzewh (e.g., 10 kWh/year)</w:t>
      </w:r>
    </w:p>
    <w:p>
      <w:pPr>
        <w:numPr>
          <w:ilvl w:val="1"/>
          <w:numId w:val="1010"/>
        </w:numPr>
        <w:pStyle w:val="Compact"/>
      </w:pPr>
      <w:r>
        <w:t xml:space="preserve">Assumed Global Average Grid Emission Factor (User location): 0.4 kg CO2e/kWh (a common illustrative value for use phase, referencing IEA type data)</w:t>
      </w:r>
    </w:p>
    <w:p>
      <w:pPr>
        <w:numPr>
          <w:ilvl w:val="1"/>
          <w:numId w:val="1010"/>
        </w:numPr>
        <w:pStyle w:val="Compact"/>
      </w:pPr>
      <w:r>
        <w:rPr>
          <w:iCs/>
          <w:i/>
        </w:rPr>
        <w:t xml:space="preserve">Illustrative Calculation:</w:t>
      </w:r>
      <w:r>
        <w:t xml:space="preserve"> </w:t>
      </w:r>
      <w:r>
        <w:t xml:space="preserve">5 years * 10 kWh/year * 0.4 kg CO2e/kWh = 20.0 kg CO2e</w:t>
      </w:r>
    </w:p>
    <w:p>
      <w:pPr>
        <w:numPr>
          <w:ilvl w:val="0"/>
          <w:numId w:val="1008"/>
        </w:numPr>
        <w:pStyle w:val="Compact"/>
      </w:pPr>
      <w:r>
        <w:rPr>
          <w:bCs/>
          <w:b/>
        </w:rPr>
        <w:t xml:space="preserve">End-of-Life Treatment of Sold Products:</w:t>
      </w:r>
      <w:r>
        <w:t xml:space="preserve"> </w:t>
      </w:r>
      <w:r>
        <w:t xml:space="preserve">Emissions associated with disposal and recycling.</w:t>
      </w:r>
    </w:p>
    <w:p>
      <w:pPr>
        <w:numPr>
          <w:ilvl w:val="1"/>
          <w:numId w:val="1011"/>
        </w:numPr>
        <w:pStyle w:val="Compact"/>
      </w:pPr>
      <w:r>
        <w:t xml:space="preserve">Recyclability Percentage: yzeurinvhn (e.g., 75%)</w:t>
      </w:r>
    </w:p>
    <w:p>
      <w:pPr>
        <w:numPr>
          <w:ilvl w:val="1"/>
          <w:numId w:val="1011"/>
        </w:numPr>
        <w:pStyle w:val="Compact"/>
      </w:pPr>
      <w:r>
        <w:t xml:space="preserve">Circular/Take-back Programs: zpqvpowpzr (e.g., Existing take-back scheme with material recovery)</w:t>
      </w:r>
    </w:p>
    <w:p>
      <w:pPr>
        <w:numPr>
          <w:ilvl w:val="1"/>
          <w:numId w:val="1011"/>
        </w:numPr>
        <w:pStyle w:val="Compact"/>
      </w:pPr>
      <w:r>
        <w:t xml:space="preserve">Product Weight: 1.6 kg</w:t>
      </w:r>
    </w:p>
    <w:p>
      <w:pPr>
        <w:numPr>
          <w:ilvl w:val="1"/>
          <w:numId w:val="1011"/>
        </w:numPr>
        <w:pStyle w:val="Compact"/>
      </w:pPr>
      <w:r>
        <w:t xml:space="preserve">Illustrative EoL Scenario: For the non-recycled portion (1 - 0.75 = 0.25), a generic landfill burden is applied. For the recycled portion (0.75), a carbon credit for avoided virgin material production is applied.</w:t>
      </w:r>
    </w:p>
    <w:p>
      <w:pPr>
        <w:numPr>
          <w:ilvl w:val="2"/>
          <w:numId w:val="1012"/>
        </w:numPr>
        <w:pStyle w:val="Compact"/>
      </w:pPr>
      <w:r>
        <w:t xml:space="preserve">Non-recycled portion: 1.6 kg * 0.25 = 0.4 kg</w:t>
      </w:r>
    </w:p>
    <w:p>
      <w:pPr>
        <w:numPr>
          <w:ilvl w:val="2"/>
          <w:numId w:val="1012"/>
        </w:numPr>
        <w:pStyle w:val="Compact"/>
      </w:pPr>
      <w:r>
        <w:t xml:space="preserve">Recycled portion: 1.6 kg * 0.75 = 1.2 kg</w:t>
      </w:r>
    </w:p>
    <w:p>
      <w:pPr>
        <w:numPr>
          <w:ilvl w:val="2"/>
          <w:numId w:val="1012"/>
        </w:numPr>
        <w:pStyle w:val="Compact"/>
      </w:pPr>
      <w:r>
        <w:t xml:space="preserve">Assumed EoL Emission Factor (landfilling for non-recycled portion): 0.05 kg CO2e/kg (illustrative, considering landfill operations and minor emissions)</w:t>
      </w:r>
    </w:p>
    <w:p>
      <w:pPr>
        <w:numPr>
          <w:ilvl w:val="2"/>
          <w:numId w:val="1012"/>
        </w:numPr>
        <w:pStyle w:val="Compact"/>
      </w:pPr>
      <w:r>
        <w:t xml:space="preserve">Assumed Recycling Benefit (for recycled portion, credit for avoided virgin material): -10.0 kg CO2e/kg (illustrative, acknowledging high savings, e.g., 95% for aluminum, and similar for other materials when accounting for avoided production)</w:t>
      </w:r>
    </w:p>
    <w:p>
      <w:pPr>
        <w:numPr>
          <w:ilvl w:val="2"/>
          <w:numId w:val="1012"/>
        </w:numPr>
        <w:pStyle w:val="Compact"/>
      </w:pPr>
      <w:r>
        <w:rPr>
          <w:iCs/>
          <w:i/>
        </w:rPr>
        <w:t xml:space="preserve">Illustrative Calculation:</w:t>
      </w:r>
      <w:r>
        <w:t xml:space="preserve"> </w:t>
      </w:r>
      <w:r>
        <w:t xml:space="preserve">(0.4 kg * 0.05 kg CO2e/kg) + (1.2 kg * -10.0 kg CO2e/kg) = 0.02 - 12.0 = -11.98 kg CO2e</w:t>
      </w:r>
    </w:p>
    <w:p>
      <w:pPr>
        <w:numPr>
          <w:ilvl w:val="0"/>
          <w:numId w:val="1008"/>
        </w:numPr>
        <w:pStyle w:val="Compact"/>
      </w:pPr>
      <w:r>
        <w:t xml:space="preserve">Other Scope 3 categories (e.g., Business Travel, Employee Commuting, Investments) are considered outside the system boundary for this product-level PCF or are deemed immaterial for achieving 95% coverage for product emissions.</w:t>
      </w:r>
    </w:p>
    <w:bookmarkEnd w:id="34"/>
    <w:bookmarkEnd w:id="35"/>
    <w:bookmarkStart w:id="36" w:name="X7ef73fe3d39a8d84fae696b42f814aa0d860ec0"/>
    <w:p>
      <w:pPr>
        <w:pStyle w:val="Heading3"/>
      </w:pPr>
      <w:r>
        <w:t xml:space="preserve">2.4. 2026 LSR Update: Land Sector and Removals Standard</w:t>
      </w:r>
    </w:p>
    <w:p>
      <w:pPr>
        <w:pStyle w:val="FirstParagraph"/>
      </w:pPr>
      <w:r>
        <w:t xml:space="preserve">The 2026 LSR Standard is applied to account for land use change emissions and carbon removals. For</w:t>
      </w:r>
      <w:r>
        <w:t xml:space="preserve"> </w:t>
      </w:r>
      <w:r>
        <w:rPr>
          <w:bCs/>
          <w:b/>
        </w:rPr>
        <w:t xml:space="preserve">xodqrtplvl</w:t>
      </w:r>
      <w:r>
        <w:t xml:space="preserve">, this is most relevant to any bio-based materials (none specified in current BOM, assumed negligible) or land-use impacts associated with raw material extraction. Importantly, it also governs the accounting for carbon removals, such as those achieved through circular economy initiatives like the</w:t>
      </w:r>
      <w:r>
        <w:t xml:space="preserve"> </w:t>
      </w:r>
      <w:r>
        <w:rPr>
          <w:bCs/>
          <w:b/>
        </w:rPr>
        <w:t xml:space="preserve">zpqvpowpzr</w:t>
      </w:r>
      <w:r>
        <w:t xml:space="preserve"> </w:t>
      </w:r>
      <w:r>
        <w:t xml:space="preserve">(e.g., take-back scheme with material recovery). The significant negative emissions calculated for End-of-Life treatment due to recycling benefits align with the principles of carbon removals within this standard, provided they meet specific criteria for permanence and verification.</w:t>
      </w:r>
    </w:p>
    <w:p>
      <w:r>
        <w:pict>
          <v:rect style="width:0;height:1.5pt" o:hralign="center" o:hrstd="t" o:hr="t"/>
        </w:pict>
      </w:r>
    </w:p>
    <w:bookmarkEnd w:id="36"/>
    <w:bookmarkEnd w:id="37"/>
    <w:bookmarkStart w:id="43" w:name="detailed-pcf-analysis-for-xodqrtplvl"/>
    <w:p>
      <w:pPr>
        <w:pStyle w:val="Heading2"/>
      </w:pPr>
      <w:r>
        <w:t xml:space="preserve">3. Detailed PCF Analysis for xodqrtplvl</w:t>
      </w:r>
    </w:p>
    <w:p>
      <w:pPr>
        <w:pStyle w:val="FirstParagraph"/>
      </w:pPr>
      <w:r>
        <w:t xml:space="preserve">This section provides a detailed breakdown of emissions across the lifecycle of</w:t>
      </w:r>
      <w:r>
        <w:t xml:space="preserve"> </w:t>
      </w:r>
      <w:r>
        <w:rPr>
          <w:bCs/>
          <w:b/>
        </w:rPr>
        <w:t xml:space="preserve">xodqrtplvl</w:t>
      </w:r>
      <w:r>
        <w:t xml:space="preserve">, integrating the specific parameters provided.</w:t>
      </w:r>
    </w:p>
    <w:bookmarkStart w:id="38" w:name="material-impact-upstream-scope-3"/>
    <w:p>
      <w:pPr>
        <w:pStyle w:val="Heading3"/>
      </w:pPr>
      <w:r>
        <w:t xml:space="preserve">3.1. Material Impact (Upstream Scope 3)</w:t>
      </w:r>
    </w:p>
    <w:p>
      <w:pPr>
        <w:pStyle w:val="FirstParagraph"/>
      </w:pPr>
      <w:r>
        <w:t xml:space="preserve">The material impact is directly calculated from the provided BOM (tdzjgmpo). This represents the \'Cradle-to-Gate\' emissions of the raw materials before they reach the iodunivrhx factory.</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Material</w:t>
            </w:r>
          </w:p>
        </w:tc>
        <w:tc>
          <w:tcPr/>
          <w:p>
            <w:pPr>
              <w:pStyle w:val="Compact"/>
              <w:jc w:val="left"/>
            </w:pPr>
            <w:r>
              <w:t xml:space="preserve">Category</w:t>
            </w:r>
          </w:p>
        </w:tc>
        <w:tc>
          <w:tcPr/>
          <w:p>
            <w:pPr>
              <w:pStyle w:val="Compact"/>
              <w:jc w:val="left"/>
            </w:pPr>
            <w:r>
              <w:t xml:space="preserve">Quantity (Unit)</w:t>
            </w:r>
          </w:p>
        </w:tc>
        <w:tc>
          <w:tcPr/>
          <w:p>
            <w:pPr>
              <w:pStyle w:val="Compact"/>
              <w:jc w:val="left"/>
            </w:pPr>
            <w:r>
              <w:t xml:space="preserve">Emission Factor (kg CO2e/unit or kg CO2e/kg)</w:t>
            </w:r>
          </w:p>
        </w:tc>
        <w:tc>
          <w:tcPr/>
          <w:p>
            <w:pPr>
              <w:pStyle w:val="Compact"/>
              <w:jc w:val="left"/>
            </w:pPr>
            <w:r>
              <w:t xml:space="preserve">Total Material CO2e (kg)</w:t>
            </w:r>
          </w:p>
        </w:tc>
      </w:tr>
      <w:tr>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0.5 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0.8 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0.2 unit</w:t>
            </w:r>
          </w:p>
        </w:tc>
        <w:tc>
          <w:tcPr/>
          <w:p>
            <w:pPr>
              <w:pStyle w:val="Compact"/>
              <w:jc w:val="left"/>
            </w:pPr>
            <w:r>
              <w:t xml:space="preserve">25.0</w:t>
            </w:r>
          </w:p>
        </w:tc>
        <w:tc>
          <w:tcPr/>
          <w:p>
            <w:pPr>
              <w:pStyle w:val="Compact"/>
              <w:jc w:val="left"/>
            </w:pPr>
            <w:r>
              <w:t xml:space="preserve">5.0</w:t>
            </w:r>
          </w:p>
        </w:tc>
      </w:tr>
      <w:tr>
        <w:tc>
          <w:tcPr/>
          <w:p>
            <w:pPr>
              <w:pStyle w:val="Compact"/>
              <w:jc w:val="left"/>
            </w:pPr>
            <w:r>
              <w:t xml:space="preserve">Copper Wire</w:t>
            </w:r>
          </w:p>
        </w:tc>
        <w:tc>
          <w:tcPr/>
          <w:p>
            <w:pPr>
              <w:pStyle w:val="Compact"/>
              <w:jc w:val="left"/>
            </w:pPr>
            <w:r>
              <w:t xml:space="preserve">Metal</w:t>
            </w:r>
          </w:p>
        </w:tc>
        <w:tc>
          <w:tcPr/>
          <w:p>
            <w:pPr>
              <w:pStyle w:val="Compact"/>
              <w:jc w:val="left"/>
            </w:pPr>
            <w:r>
              <w:t xml:space="preserve">0.1 kg</w:t>
            </w:r>
          </w:p>
        </w:tc>
        <w:tc>
          <w:tcPr/>
          <w:p>
            <w:pPr>
              <w:pStyle w:val="Compact"/>
              <w:jc w:val="left"/>
            </w:pPr>
            <w:r>
              <w:t xml:space="preserve">5.0</w:t>
            </w:r>
          </w:p>
        </w:tc>
        <w:tc>
          <w:tcPr/>
          <w:p>
            <w:pPr>
              <w:pStyle w:val="Compact"/>
              <w:jc w:val="left"/>
            </w:pPr>
            <w:r>
              <w:t xml:space="preserve">0.5</w:t>
            </w:r>
          </w:p>
        </w:tc>
      </w:tr>
      <w:tr>
        <w:tc>
          <w:tcPr>
            <w:gridSpan w:val="4"/>
          </w:tcPr>
          <w:p>
            <w:pPr>
              <w:pStyle w:val="Compact"/>
              <w:jc w:val="right"/>
            </w:pPr>
            <w:r>
              <w:t xml:space="preserve">Total Material Impact (Scope 3)</w:t>
            </w:r>
          </w:p>
        </w:tc>
        <w:tc>
          <w:tcPr/>
          <w:p>
            <w:pPr>
              <w:pStyle w:val="Compact"/>
              <w:jc w:val="left"/>
            </w:pPr>
            <w:r>
              <w:t xml:space="preserve">14.3 kg CO2e</w:t>
            </w:r>
          </w:p>
        </w:tc>
      </w:tr>
    </w:tbl>
    <w:bookmarkEnd w:id="38"/>
    <w:bookmarkStart w:id="39" w:name="production-phase-footprint-scope-1-2"/>
    <w:p>
      <w:pPr>
        <w:pStyle w:val="Heading3"/>
      </w:pPr>
      <w:r>
        <w:t xml:space="preserve">3.2. Production Phase Footprint (Scope 1 &amp; 2)</w:t>
      </w:r>
    </w:p>
    <w:p>
      <w:pPr>
        <w:pStyle w:val="FirstParagraph"/>
      </w:pPr>
      <w:r>
        <w:t xml:space="preserve">This covers the emissions generated at the iodunivrhx manufacturing facility in China. It accounts for direct emissions (Scope 1 - assumed minimal) and purchased electricity (Scope 2).</w:t>
      </w:r>
    </w:p>
    <w:p>
      <w:pPr>
        <w:numPr>
          <w:ilvl w:val="0"/>
          <w:numId w:val="1013"/>
        </w:numPr>
        <w:pStyle w:val="Compact"/>
      </w:pPr>
      <w:r>
        <w:t xml:space="preserve">Energy Intensity: hgwkkplmez (e.g., 1.5 kWh/unit)</w:t>
      </w:r>
    </w:p>
    <w:p>
      <w:pPr>
        <w:numPr>
          <w:ilvl w:val="0"/>
          <w:numId w:val="1013"/>
        </w:numPr>
        <w:pStyle w:val="Compact"/>
      </w:pPr>
      <w:r>
        <w:t xml:space="preserve">Renewable Energy Usage: fizhmgppuw (e.g., 60%)</w:t>
      </w:r>
    </w:p>
    <w:p>
      <w:pPr>
        <w:numPr>
          <w:ilvl w:val="0"/>
          <w:numId w:val="1013"/>
        </w:numPr>
        <w:pStyle w:val="Compact"/>
      </w:pPr>
      <w:r>
        <w:t xml:space="preserve">Effective Scope 2 Emission Factor (adjusted for renewables): 0.248 kg CO2e/kWh (calculated in Section 2.2)</w:t>
      </w:r>
    </w:p>
    <w:p>
      <w:pPr>
        <w:numPr>
          <w:ilvl w:val="0"/>
          <w:numId w:val="1013"/>
        </w:numPr>
        <w:pStyle w:val="Compact"/>
      </w:pPr>
      <w:r>
        <w:rPr>
          <w:bCs/>
          <w:b/>
        </w:rPr>
        <w:t xml:space="preserve">Total Production Phase (Scope 2) Emissions:</w:t>
      </w:r>
      <w:r>
        <w:t xml:space="preserve"> </w:t>
      </w:r>
      <w:r>
        <w:t xml:space="preserve">1.5 kWh/unit * 0.248 kg CO2e/kWh = 0.372 kg CO2e/unit</w:t>
      </w:r>
    </w:p>
    <w:p>
      <w:pPr>
        <w:pStyle w:val="FirstParagraph"/>
      </w:pPr>
      <w:r>
        <w:t xml:space="preserve">For this analysis, direct process emissions (Scope 1) are considered negligible or embedded within the Scope 2 factor if from captive power that is part of purchased energy. If there were on-site fossil fuel combustion, it would be separately calculated.</w:t>
      </w:r>
    </w:p>
    <w:bookmarkEnd w:id="39"/>
    <w:bookmarkStart w:id="40" w:name="X28ec83056ffd5f8ddd9c6e7039b26f3ed9cb5d2"/>
    <w:p>
      <w:pPr>
        <w:pStyle w:val="Heading3"/>
      </w:pPr>
      <w:r>
        <w:t xml:space="preserve">3.3. Transport &amp; Logistics Footprint (Upstream &amp; Downstream Scope 3)</w:t>
      </w:r>
    </w:p>
    <w:p>
      <w:pPr>
        <w:pStyle w:val="FirstParagraph"/>
      </w:pPr>
      <w:r>
        <w:t xml:space="preserve">This includes emissions from transporting raw materials to the factory (upstream) and distributing the finished product (downstream).</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Activity</w:t>
            </w:r>
          </w:p>
        </w:tc>
        <w:tc>
          <w:tcPr/>
          <w:p>
            <w:pPr>
              <w:pStyle w:val="Compact"/>
              <w:jc w:val="left"/>
            </w:pPr>
            <w:r>
              <w:t xml:space="preserve">Mode</w:t>
            </w:r>
          </w:p>
        </w:tc>
        <w:tc>
          <w:tcPr/>
          <w:p>
            <w:pPr>
              <w:pStyle w:val="Compact"/>
              <w:jc w:val="left"/>
            </w:pPr>
            <w:r>
              <w:t xml:space="preserve">Distance (km) / Basis</w:t>
            </w:r>
          </w:p>
        </w:tc>
        <w:tc>
          <w:tcPr/>
          <w:p>
            <w:pPr>
              <w:pStyle w:val="Compact"/>
              <w:jc w:val="left"/>
            </w:pPr>
            <w:r>
              <w:t xml:space="preserve">Weight (tonnes) / Qty</w:t>
            </w:r>
          </w:p>
        </w:tc>
        <w:tc>
          <w:tcPr/>
          <w:p>
            <w:pPr>
              <w:pStyle w:val="Compact"/>
              <w:jc w:val="left"/>
            </w:pPr>
            <w:r>
              <w:t xml:space="preserve">Emission Factor (kg CO2e/tkm or kg CO2e/unit)</w:t>
            </w:r>
          </w:p>
        </w:tc>
        <w:tc>
          <w:tcPr/>
          <w:p>
            <w:pPr>
              <w:pStyle w:val="Compact"/>
              <w:jc w:val="left"/>
            </w:pPr>
            <w:r>
              <w:t xml:space="preserve">Total Transport CO2e (kg)</w:t>
            </w:r>
          </w:p>
        </w:tc>
      </w:tr>
      <w:tr>
        <w:tc>
          <w:tcPr/>
          <w:p>
            <w:pPr>
              <w:pStyle w:val="Compact"/>
              <w:jc w:val="left"/>
            </w:pPr>
            <w:r>
              <w:t xml:space="preserve">Upstream Transport (Europe to China)</w:t>
            </w:r>
          </w:p>
        </w:tc>
        <w:tc>
          <w:tcPr/>
          <w:p>
            <w:pPr>
              <w:pStyle w:val="Compact"/>
              <w:jc w:val="left"/>
            </w:pPr>
            <w:r>
              <w:t xml:space="preserve">Select Mode (e.g., Road Freight)</w:t>
            </w:r>
          </w:p>
        </w:tc>
        <w:tc>
          <w:tcPr/>
          <w:p>
            <w:pPr>
              <w:pStyle w:val="Compact"/>
              <w:jc w:val="left"/>
            </w:pPr>
            <w:r>
              <w:t xml:space="preserve">xvtisriruk (e.g., 1500 km)</w:t>
            </w:r>
          </w:p>
        </w:tc>
        <w:tc>
          <w:tcPr/>
          <w:p>
            <w:pPr>
              <w:pStyle w:val="Compact"/>
              <w:jc w:val="left"/>
            </w:pPr>
            <w:r>
              <w:t xml:space="preserve">0.0016 tonnes</w:t>
            </w:r>
          </w:p>
        </w:tc>
        <w:tc>
          <w:tcPr/>
          <w:p>
            <w:pPr>
              <w:pStyle w:val="Compact"/>
              <w:jc w:val="left"/>
            </w:pPr>
            <w:r>
              <w:t xml:space="preserve">0.08 kg CO2e/tkm</w:t>
            </w:r>
          </w:p>
        </w:tc>
        <w:tc>
          <w:tcPr/>
          <w:p>
            <w:pPr>
              <w:pStyle w:val="Compact"/>
              <w:jc w:val="left"/>
            </w:pPr>
            <w:r>
              <w:t xml:space="preserve">0.192</w:t>
            </w:r>
          </w:p>
        </w:tc>
      </w:tr>
      <w:tr>
        <w:tc>
          <w:tcPr/>
          <w:p>
            <w:pPr>
              <w:pStyle w:val="Compact"/>
              <w:jc w:val="left"/>
            </w:pPr>
            <w:r>
              <w:t xml:space="preserve">Downstream Transport (Last-Mile Delivery)</w:t>
            </w:r>
          </w:p>
        </w:tc>
        <w:tc>
          <w:tcPr/>
          <w:p>
            <w:pPr>
              <w:pStyle w:val="Compact"/>
              <w:jc w:val="left"/>
            </w:pPr>
            <w:r>
              <w:t xml:space="preserve">Delivery Type (e.g., Parcel Post)</w:t>
            </w:r>
          </w:p>
        </w:tc>
        <w:tc>
          <w:tcPr/>
          <w:p>
            <w:pPr>
              <w:pStyle w:val="Compact"/>
              <w:jc w:val="left"/>
            </w:pPr>
            <w:r>
              <w:t xml:space="preserve">Per unit basis</w:t>
            </w:r>
          </w:p>
        </w:tc>
        <w:tc>
          <w:tcPr/>
          <w:p>
            <w:pPr>
              <w:pStyle w:val="Compact"/>
              <w:jc w:val="left"/>
            </w:pPr>
            <w:r>
              <w:t xml:space="preserve">1 unit</w:t>
            </w:r>
          </w:p>
        </w:tc>
        <w:tc>
          <w:tcPr/>
          <w:p>
            <w:pPr>
              <w:pStyle w:val="Compact"/>
              <w:jc w:val="left"/>
            </w:pPr>
            <w:r>
              <w:t xml:space="preserve">0.1 kg CO2e/unit</w:t>
            </w:r>
          </w:p>
        </w:tc>
        <w:tc>
          <w:tcPr/>
          <w:p>
            <w:pPr>
              <w:pStyle w:val="Compact"/>
              <w:jc w:val="left"/>
            </w:pPr>
            <w:r>
              <w:t xml:space="preserve">0.100</w:t>
            </w:r>
          </w:p>
        </w:tc>
      </w:tr>
      <w:tr>
        <w:tc>
          <w:tcPr>
            <w:gridSpan w:val="5"/>
          </w:tcPr>
          <w:p>
            <w:pPr>
              <w:pStyle w:val="Compact"/>
              <w:jc w:val="right"/>
            </w:pPr>
            <w:r>
              <w:t xml:space="preserve">Total Transport &amp; Logistics Impact (Scope 3)</w:t>
            </w:r>
          </w:p>
        </w:tc>
        <w:tc>
          <w:tcPr/>
          <w:p>
            <w:pPr>
              <w:pStyle w:val="Compact"/>
              <w:jc w:val="left"/>
            </w:pPr>
            <w:r>
              <w:t xml:space="preserve">0.292 kg CO2e</w:t>
            </w:r>
          </w:p>
        </w:tc>
      </w:tr>
    </w:tbl>
    <w:bookmarkEnd w:id="40"/>
    <w:bookmarkStart w:id="41" w:name="use-phase-footprint-downstream-scope-3"/>
    <w:p>
      <w:pPr>
        <w:pStyle w:val="Heading3"/>
      </w:pPr>
      <w:r>
        <w:t xml:space="preserve">3.4. Use Phase Footprint (Downstream Scope 3)</w:t>
      </w:r>
    </w:p>
    <w:p>
      <w:pPr>
        <w:pStyle w:val="FirstParagraph"/>
      </w:pPr>
      <w:r>
        <w:t xml:space="preserve">Emissions generated during the consumer use of xodqrtplvl over its declared lifespan.</w:t>
      </w:r>
    </w:p>
    <w:p>
      <w:pPr>
        <w:numPr>
          <w:ilvl w:val="0"/>
          <w:numId w:val="1014"/>
        </w:numPr>
        <w:pStyle w:val="Compact"/>
      </w:pPr>
      <w:r>
        <w:t xml:space="preserve">Product Lifespan: zkomntxrgr (e.g., 5 years)</w:t>
      </w:r>
    </w:p>
    <w:p>
      <w:pPr>
        <w:numPr>
          <w:ilvl w:val="0"/>
          <w:numId w:val="1014"/>
        </w:numPr>
        <w:pStyle w:val="Compact"/>
      </w:pPr>
      <w:r>
        <w:t xml:space="preserve">Energy Consumption in Use: nqiximzewh (e.g., 10 kWh/year)</w:t>
      </w:r>
    </w:p>
    <w:p>
      <w:pPr>
        <w:numPr>
          <w:ilvl w:val="0"/>
          <w:numId w:val="1014"/>
        </w:numPr>
        <w:pStyle w:val="Compact"/>
      </w:pPr>
      <w:r>
        <w:t xml:space="preserve">Assumed Global Average Grid Emission Factor (User location): 0.4 kg CO2e/kWh</w:t>
      </w:r>
    </w:p>
    <w:p>
      <w:pPr>
        <w:numPr>
          <w:ilvl w:val="0"/>
          <w:numId w:val="1014"/>
        </w:numPr>
        <w:pStyle w:val="Compact"/>
      </w:pPr>
      <w:r>
        <w:rPr>
          <w:bCs/>
          <w:b/>
        </w:rPr>
        <w:t xml:space="preserve">Total Use Phase Emissions:</w:t>
      </w:r>
      <w:r>
        <w:t xml:space="preserve"> </w:t>
      </w:r>
      <w:r>
        <w:t xml:space="preserve">5 years * 10 kWh/year * 0.4 kg CO2e/kWh = 20.0 kg CO2e/unit</w:t>
      </w:r>
    </w:p>
    <w:bookmarkEnd w:id="41"/>
    <w:bookmarkStart w:id="42" w:name="X5e6af3489cf8badc87656836ddeed40fb423bb8"/>
    <w:p>
      <w:pPr>
        <w:pStyle w:val="Heading3"/>
      </w:pPr>
      <w:r>
        <w:t xml:space="preserve">3.5. End-of-Life (EoL) Footprint (Downstream Scope 3)</w:t>
      </w:r>
    </w:p>
    <w:p>
      <w:pPr>
        <w:pStyle w:val="FirstParagraph"/>
      </w:pPr>
      <w:r>
        <w:t xml:space="preserve">Emissions and potential credits associated with the disposal and recovery of xodqrtplvl.</w:t>
      </w:r>
    </w:p>
    <w:p>
      <w:pPr>
        <w:numPr>
          <w:ilvl w:val="0"/>
          <w:numId w:val="1015"/>
        </w:numPr>
        <w:pStyle w:val="Compact"/>
      </w:pPr>
      <w:r>
        <w:t xml:space="preserve">Recyclability Percentage: yzeurinvhn (e.g., 75%)</w:t>
      </w:r>
    </w:p>
    <w:p>
      <w:pPr>
        <w:numPr>
          <w:ilvl w:val="0"/>
          <w:numId w:val="1015"/>
        </w:numPr>
        <w:pStyle w:val="Compact"/>
      </w:pPr>
      <w:r>
        <w:t xml:space="preserve">Circular/Take-back Programs: zpqvpowpzr (e.g., Existing take-back scheme with material recovery)</w:t>
      </w:r>
    </w:p>
    <w:p>
      <w:pPr>
        <w:numPr>
          <w:ilvl w:val="0"/>
          <w:numId w:val="1015"/>
        </w:numPr>
        <w:pStyle w:val="Compact"/>
      </w:pPr>
      <w:r>
        <w:t xml:space="preserve">Product Weight: 1.6 kg</w:t>
      </w:r>
    </w:p>
    <w:p>
      <w:pPr>
        <w:numPr>
          <w:ilvl w:val="0"/>
          <w:numId w:val="1015"/>
        </w:numPr>
        <w:pStyle w:val="Compact"/>
      </w:pPr>
      <w:r>
        <w:t xml:space="preserve">Calculated Net EoL Emissions: -11.98 kg CO2e/unit (calculated in Section 2.3)</w:t>
      </w:r>
    </w:p>
    <w:p>
      <w:pPr>
        <w:pStyle w:val="FirstParagraph"/>
      </w:pPr>
      <w:r>
        <w:t xml:space="preserve">The significant negative value indicates a net carbon credit due to the benefits of recycling facilitated by the circular/take-back programs and high recyclability, aligning with LSR Standard principles by avoiding emissions from virgin material production.</w:t>
      </w:r>
    </w:p>
    <w:p>
      <w:r>
        <w:pict>
          <v:rect style="width:0;height:1.5pt" o:hralign="center" o:hrstd="t" o:hr="t"/>
        </w:pict>
      </w:r>
    </w:p>
    <w:bookmarkEnd w:id="42"/>
    <w:bookmarkEnd w:id="43"/>
    <w:bookmarkStart w:id="44" w:name="Xaa6ceca80207a25c392bcf51496e0bcbfe47802"/>
    <w:p>
      <w:pPr>
        <w:pStyle w:val="Heading2"/>
      </w:pPr>
      <w:r>
        <w:t xml:space="preserve">4. Overall Product Carbon Footprint (PCF) Summary</w:t>
      </w:r>
    </w:p>
    <w:p>
      <w:pPr>
        <w:pStyle w:val="FirstParagraph"/>
      </w:pPr>
      <w:r>
        <w:t xml:space="preserve">The aggregated Product Carbon Footprint for one functional unit of</w:t>
      </w:r>
      <w:r>
        <w:t xml:space="preserve"> </w:t>
      </w:r>
      <w:r>
        <w:rPr>
          <w:bCs/>
          <w:b/>
        </w:rPr>
        <w:t xml:space="preserve">xodqrtplvl</w:t>
      </w:r>
      <w:r>
        <w:t xml:space="preserve"> </w:t>
      </w:r>
      <w:r>
        <w:t xml:space="preserve">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(kg/unit)</w:t>
            </w:r>
          </w:p>
        </w:tc>
        <w:tc>
          <w:tcPr/>
          <w:p>
            <w:pPr>
              <w:pStyle w:val="Compact"/>
              <w:jc w:val="left"/>
            </w:pPr>
            <w:r>
              <w:t xml:space="preserve">Percentage (%)</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14.30</w:t>
            </w:r>
          </w:p>
        </w:tc>
        <w:tc>
          <w:tcPr/>
          <w:p>
            <w:pPr>
              <w:pStyle w:val="Compact"/>
              <w:jc w:val="left"/>
            </w:pPr>
            <w:r>
              <w:t xml:space="preserve">37.1%</w:t>
            </w:r>
          </w:p>
        </w:tc>
      </w:tr>
      <w:tr>
        <w:tc>
          <w:tcPr/>
          <w:p>
            <w:pPr>
              <w:pStyle w:val="Compact"/>
              <w:jc w:val="left"/>
            </w:pPr>
            <w:r>
              <w:t xml:space="preserve">Production (Factory Gate)</w:t>
            </w:r>
          </w:p>
        </w:tc>
        <w:tc>
          <w:tcPr/>
          <w:p>
            <w:pPr>
              <w:pStyle w:val="Compact"/>
              <w:jc w:val="left"/>
            </w:pPr>
            <w:r>
              <w:t xml:space="preserve">Scope 2</w:t>
            </w:r>
          </w:p>
        </w:tc>
        <w:tc>
          <w:tcPr/>
          <w:p>
            <w:pPr>
              <w:pStyle w:val="Compact"/>
              <w:jc w:val="left"/>
            </w:pPr>
            <w:r>
              <w:t xml:space="preserve">0.372</w:t>
            </w:r>
          </w:p>
        </w:tc>
        <w:tc>
          <w:tcPr/>
          <w:p>
            <w:pPr>
              <w:pStyle w:val="Compact"/>
              <w:jc w:val="left"/>
            </w:pPr>
            <w:r>
              <w:t xml:space="preserve">1.0%</w:t>
            </w:r>
          </w:p>
        </w:tc>
      </w:tr>
      <w:tr>
        <w:tc>
          <w:tcPr/>
          <w:p>
            <w:pPr>
              <w:pStyle w:val="Compact"/>
              <w:jc w:val="left"/>
            </w:pPr>
            <w:r>
              <w:t xml:space="preserve">Transport &amp; Logistics (Upstream &amp; Downstream)</w:t>
            </w:r>
          </w:p>
        </w:tc>
        <w:tc>
          <w:tcPr/>
          <w:p>
            <w:pPr>
              <w:pStyle w:val="Compact"/>
              <w:jc w:val="left"/>
            </w:pPr>
            <w:r>
              <w:t xml:space="preserve">Scope 3 (Upstream &amp; Downstream)</w:t>
            </w:r>
          </w:p>
        </w:tc>
        <w:tc>
          <w:tcPr/>
          <w:p>
            <w:pPr>
              <w:pStyle w:val="Compact"/>
              <w:jc w:val="left"/>
            </w:pPr>
            <w:r>
              <w:t xml:space="preserve">0.292</w:t>
            </w:r>
          </w:p>
        </w:tc>
        <w:tc>
          <w:tcPr/>
          <w:p>
            <w:pPr>
              <w:pStyle w:val="Compact"/>
              <w:jc w:val="left"/>
            </w:pPr>
            <w:r>
              <w:t xml:space="preserve">0.8%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w:t>
            </w:r>
          </w:p>
        </w:tc>
        <w:tc>
          <w:tcPr/>
          <w:p>
            <w:pPr>
              <w:pStyle w:val="Compact"/>
              <w:jc w:val="left"/>
            </w:pPr>
            <w:r>
              <w:t xml:space="preserve">51.9%</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-11.98</w:t>
            </w:r>
          </w:p>
        </w:tc>
        <w:tc>
          <w:tcPr/>
          <w:p>
            <w:pPr>
              <w:pStyle w:val="Compact"/>
              <w:jc w:val="left"/>
            </w:pPr>
            <w:r>
              <w:t xml:space="preserve">-31.1%</w:t>
            </w:r>
          </w:p>
        </w:tc>
      </w:tr>
      <w:tr>
        <w:tc>
          <w:tcPr>
            <w:gridSpan w:val="2"/>
          </w:tcPr>
          <w:p>
            <w:pPr>
              <w:pStyle w:val="Compact"/>
              <w:jc w:val="right"/>
            </w:pPr>
            <w:r>
              <w:t xml:space="preserve">Total Product Carbon Footprint</w:t>
            </w:r>
          </w:p>
        </w:tc>
        <w:tc>
          <w:tcPr/>
          <w:p>
            <w:pPr>
              <w:pStyle w:val="Compact"/>
              <w:jc w:val="left"/>
            </w:pPr>
            <w:r>
              <w:t xml:space="preserve">22.984 kg CO2e/unit</w:t>
            </w:r>
          </w:p>
        </w:tc>
        <w:tc>
          <w:tcPr/>
          <w:p>
            <w:pPr>
              <w:pStyle w:val="Compact"/>
              <w:jc w:val="left"/>
            </w:pPr>
            <w:r>
              <w:t xml:space="preserve">100.0%</w:t>
            </w:r>
          </w:p>
        </w:tc>
      </w:tr>
    </w:tbl>
    <w:p>
      <w:pPr>
        <w:pStyle w:val="BodyText"/>
      </w:pPr>
      <w:r>
        <w:t xml:space="preserve">Note: Percentages may not sum to 100% due to rounding and the presence of significant negative emissions from EoL.</w:t>
      </w:r>
    </w:p>
    <w:p>
      <w:r>
        <w:pict>
          <v:rect style="width:0;height:1.5pt" o:hralign="center" o:hrstd="t" o:hr="t"/>
        </w:pict>
      </w:r>
    </w:p>
    <w:bookmarkEnd w:id="44"/>
    <w:bookmarkStart w:id="45" w:name="key-findings-hotspots"/>
    <w:p>
      <w:pPr>
        <w:pStyle w:val="Heading2"/>
      </w:pPr>
      <w:r>
        <w:t xml:space="preserve">5. Key Findings &amp; Hotspots</w:t>
      </w:r>
    </w:p>
    <w:p>
      <w:pPr>
        <w:numPr>
          <w:ilvl w:val="0"/>
          <w:numId w:val="1016"/>
        </w:numPr>
        <w:pStyle w:val="Compact"/>
      </w:pPr>
      <w:r>
        <w:rPr>
          <w:bCs/>
          <w:b/>
        </w:rPr>
        <w:t xml:space="preserve">Use Phase Dominance:</w:t>
      </w:r>
      <w:r>
        <w:t xml:space="preserve"> </w:t>
      </w:r>
      <w:r>
        <w:t xml:space="preserve">The most significant hotspot for xodqrtplvl is the use phase, accounting for approximately 51.9% of the total PCF. This is driven by the energy consumption over the product\'s</w:t>
      </w:r>
      <w:r>
        <w:t xml:space="preserve"> </w:t>
      </w:r>
      <w:r>
        <w:rPr>
          <w:bCs/>
          <w:b/>
        </w:rPr>
        <w:t xml:space="preserve">zkomntxrgr</w:t>
      </w:r>
      <w:r>
        <w:t xml:space="preserve"> </w:t>
      </w:r>
      <w:r>
        <w:t xml:space="preserve">(e.g., 5-year) lifespan.</w:t>
      </w:r>
    </w:p>
    <w:p>
      <w:pPr>
        <w:numPr>
          <w:ilvl w:val="0"/>
          <w:numId w:val="1016"/>
        </w:numPr>
        <w:pStyle w:val="Compact"/>
      </w:pPr>
      <w:r>
        <w:rPr>
          <w:bCs/>
          <w:b/>
        </w:rPr>
        <w:t xml:space="preserve">Material Impact:</w:t>
      </w:r>
      <w:r>
        <w:t xml:space="preserve"> </w:t>
      </w:r>
      <w:r>
        <w:t xml:space="preserve">Raw material acquisition and pre-processing constitute the second largest contributor (37.1%), with significant emissions from components like Aluminum Casing and Printed Circuit Board.</w:t>
      </w:r>
    </w:p>
    <w:p>
      <w:pPr>
        <w:numPr>
          <w:ilvl w:val="0"/>
          <w:numId w:val="1016"/>
        </w:numPr>
        <w:pStyle w:val="Compact"/>
      </w:pPr>
      <w:r>
        <w:rPr>
          <w:bCs/>
          <w:b/>
        </w:rPr>
        <w:t xml:space="preserve">Circular Economy Benefits:</w:t>
      </w:r>
      <w:r>
        <w:t xml:space="preserve"> </w:t>
      </w:r>
      <w:r>
        <w:t xml:space="preserve">The</w:t>
      </w:r>
      <w:r>
        <w:t xml:space="preserve"> </w:t>
      </w:r>
      <w:r>
        <w:rPr>
          <w:bCs/>
          <w:b/>
        </w:rPr>
        <w:t xml:space="preserve">yzeurinvhn</w:t>
      </w:r>
      <w:r>
        <w:t xml:space="preserve"> </w:t>
      </w:r>
      <w:r>
        <w:t xml:space="preserve">(e.g., 75%) recyclability and</w:t>
      </w:r>
      <w:r>
        <w:t xml:space="preserve"> </w:t>
      </w:r>
      <w:r>
        <w:rPr>
          <w:bCs/>
          <w:b/>
        </w:rPr>
        <w:t xml:space="preserve">zpqvpowpzr</w:t>
      </w:r>
      <w:r>
        <w:t xml:space="preserve"> </w:t>
      </w:r>
      <w:r>
        <w:t xml:space="preserve">(e.g., existing take-back programs) result in a substantial net carbon credit (-31.1%) at the end-of-life, demonstrating the positive impact of circular economy strategies and aligning with the LSR Standard.</w:t>
      </w:r>
    </w:p>
    <w:p>
      <w:pPr>
        <w:numPr>
          <w:ilvl w:val="0"/>
          <w:numId w:val="1016"/>
        </w:numPr>
        <w:pStyle w:val="Compact"/>
      </w:pPr>
      <w:r>
        <w:rPr>
          <w:bCs/>
          <w:b/>
        </w:rPr>
        <w:t xml:space="preserve">Production Efficiency:</w:t>
      </w:r>
      <w:r>
        <w:t xml:space="preserve"> </w:t>
      </w:r>
      <w:r>
        <w:t xml:space="preserve">The production phase at the factory gate contributes a relatively small portion (1.0%), partly due to</w:t>
      </w:r>
      <w:r>
        <w:t xml:space="preserve"> </w:t>
      </w:r>
      <w:r>
        <w:rPr>
          <w:bCs/>
          <w:b/>
        </w:rPr>
        <w:t xml:space="preserve">fizhmgppuw</w:t>
      </w:r>
      <w:r>
        <w:t xml:space="preserve"> </w:t>
      </w:r>
      <w:r>
        <w:t xml:space="preserve">(e.g., 60%) renewable energy usage and efficient processes.</w:t>
      </w:r>
    </w:p>
    <w:p>
      <w:pPr>
        <w:numPr>
          <w:ilvl w:val="0"/>
          <w:numId w:val="1016"/>
        </w:numPr>
        <w:pStyle w:val="Compact"/>
      </w:pPr>
      <w:r>
        <w:rPr>
          <w:bCs/>
          <w:b/>
        </w:rPr>
        <w:t xml:space="preserve">Transport Footprint:</w:t>
      </w:r>
      <w:r>
        <w:t xml:space="preserve"> </w:t>
      </w:r>
      <w:r>
        <w:t xml:space="preserve">Both upstream and downstream transportation contribute minimally (0.8%) to the overall footprint.</w:t>
      </w:r>
    </w:p>
    <w:bookmarkEnd w:id="45"/>
    <w:bookmarkStart w:id="46" w:name="recommendations"/>
    <w:p>
      <w:pPr>
        <w:pStyle w:val="Heading2"/>
      </w:pPr>
      <w:r>
        <w:t xml:space="preserve">6. Recommendations</w:t>
      </w:r>
    </w:p>
    <w:p>
      <w:pPr>
        <w:pStyle w:val="FirstParagraph"/>
      </w:pPr>
      <w:r>
        <w:t xml:space="preserve">Based on this PCF analysis, iodunivrhx should consider the following recommendations to further reduce the carbon footprint of xodqrtplvl:</w:t>
      </w:r>
    </w:p>
    <w:p>
      <w:pPr>
        <w:numPr>
          <w:ilvl w:val="0"/>
          <w:numId w:val="1017"/>
        </w:numPr>
        <w:pStyle w:val="Compact"/>
      </w:pPr>
      <w:r>
        <w:rPr>
          <w:bCs/>
          <w:b/>
        </w:rPr>
        <w:t xml:space="preserve">Optimize Use Phase Efficiency:</w:t>
      </w:r>
      <w:r>
        <w:t xml:space="preserve"> </w:t>
      </w:r>
      <w:r>
        <w:t xml:space="preserve">Focus on engineering design to reduce energy consumption during the</w:t>
      </w:r>
      <w:r>
        <w:t xml:space="preserve"> </w:t>
      </w:r>
      <w:r>
        <w:rPr>
          <w:bCs/>
          <w:b/>
        </w:rPr>
        <w:t xml:space="preserve">zkomntxrgr</w:t>
      </w:r>
      <w:r>
        <w:t xml:space="preserve"> </w:t>
      </w:r>
      <w:r>
        <w:t xml:space="preserve">(e.g., 5-year) product lifespan. This could involve more energy-efficient components, smart power management features, or longer product durability to extend the benefits of initial low-carbon production.</w:t>
      </w:r>
    </w:p>
    <w:p>
      <w:pPr>
        <w:numPr>
          <w:ilvl w:val="0"/>
          <w:numId w:val="1017"/>
        </w:numPr>
        <w:pStyle w:val="Compact"/>
      </w:pPr>
      <w:r>
        <w:rPr>
          <w:bCs/>
          <w:b/>
        </w:rPr>
        <w:t xml:space="preserve">Material Decarbonization:</w:t>
      </w:r>
      <w:r>
        <w:t xml:space="preserve"> </w:t>
      </w:r>
      <w:r>
        <w:t xml:space="preserve">Explore alternative, lower-carbon materials for the Aluminum Casing and Printed Circuit Board, or work with suppliers to source materials produced with higher renewable energy penetration and efficient processes. Specifically, increasing the recycled content for aluminum could yield significant benefits due to ~95% emission savings compared to primary production.</w:t>
      </w:r>
    </w:p>
    <w:p>
      <w:pPr>
        <w:numPr>
          <w:ilvl w:val="0"/>
          <w:numId w:val="1017"/>
        </w:numPr>
        <w:pStyle w:val="Compact"/>
      </w:pPr>
      <w:r>
        <w:rPr>
          <w:bCs/>
          <w:b/>
        </w:rPr>
        <w:t xml:space="preserve">Enhance Circularity:</w:t>
      </w:r>
      <w:r>
        <w:t xml:space="preserve"> </w:t>
      </w:r>
      <w:r>
        <w:t xml:space="preserve">Further expand and promote the</w:t>
      </w:r>
      <w:r>
        <w:t xml:space="preserve"> </w:t>
      </w:r>
      <w:r>
        <w:rPr>
          <w:bCs/>
          <w:b/>
        </w:rPr>
        <w:t xml:space="preserve">zpqvpowpzr</w:t>
      </w:r>
      <w:r>
        <w:t xml:space="preserve"> </w:t>
      </w:r>
      <w:r>
        <w:t xml:space="preserve">(e.g., existing take-back scheme) and explore opportunities to increase the</w:t>
      </w:r>
      <w:r>
        <w:t xml:space="preserve"> </w:t>
      </w:r>
      <w:r>
        <w:rPr>
          <w:bCs/>
          <w:b/>
        </w:rPr>
        <w:t xml:space="preserve">yzeurinvhn</w:t>
      </w:r>
      <w:r>
        <w:t xml:space="preserve"> </w:t>
      </w:r>
      <w:r>
        <w:t xml:space="preserve">(e.g., 75%) recyclability rate, potentially leading to greater carbon credits and resource efficiency, which is well-accounted for under the LSR Standard.</w:t>
      </w:r>
    </w:p>
    <w:p>
      <w:pPr>
        <w:numPr>
          <w:ilvl w:val="0"/>
          <w:numId w:val="1017"/>
        </w:numPr>
        <w:pStyle w:val="Compact"/>
      </w:pPr>
      <w:r>
        <w:rPr>
          <w:bCs/>
          <w:b/>
        </w:rPr>
        <w:t xml:space="preserve">Supplier Engagement:</w:t>
      </w:r>
      <w:r>
        <w:t xml:space="preserve"> </w:t>
      </w:r>
      <w:r>
        <w:t xml:space="preserve">Engage with key material and component suppliers, especially those in Europe, to encourage their decarbonization efforts, potentially through renewable energy adoption or process optimization, to further reduce upstream Scope 3 emissions.</w:t>
      </w:r>
    </w:p>
    <w:p>
      <w:pPr>
        <w:numPr>
          <w:ilvl w:val="0"/>
          <w:numId w:val="1017"/>
        </w:numPr>
        <w:pStyle w:val="Compact"/>
      </w:pPr>
      <w:r>
        <w:rPr>
          <w:bCs/>
          <w:b/>
        </w:rPr>
        <w:t xml:space="preserve">Energy Efficiency in Production:</w:t>
      </w:r>
      <w:r>
        <w:t xml:space="preserve"> </w:t>
      </w:r>
      <w:r>
        <w:t xml:space="preserve">While already employing</w:t>
      </w:r>
      <w:r>
        <w:t xml:space="preserve"> </w:t>
      </w:r>
      <w:r>
        <w:rPr>
          <w:bCs/>
          <w:b/>
        </w:rPr>
        <w:t xml:space="preserve">fizhmgppuw</w:t>
      </w:r>
      <w:r>
        <w:t xml:space="preserve"> </w:t>
      </w:r>
      <w:r>
        <w:t xml:space="preserve">(e.g., 60%) renewable energy, continuous improvement in energy efficiency (reducing</w:t>
      </w:r>
      <w:r>
        <w:t xml:space="preserve"> </w:t>
      </w:r>
      <w:r>
        <w:rPr>
          <w:bCs/>
          <w:b/>
        </w:rPr>
        <w:t xml:space="preserve">hgwkkplmez</w:t>
      </w:r>
      <w:r>
        <w:t xml:space="preserve">, e.g., 1.5 kWh/unit) at the manufacturing facility in China will contribute to further reductions.</w:t>
      </w:r>
    </w:p>
    <w:bookmarkEnd w:id="46"/>
    <w:bookmarkStart w:id="47" w:name="disclaimer-limitations"/>
    <w:p>
      <w:pPr>
        <w:pStyle w:val="Heading2"/>
      </w:pPr>
      <w:r>
        <w:t xml:space="preserve">7. Disclaimer &amp; Limitations</w:t>
      </w:r>
    </w:p>
    <w:p>
      <w:pPr>
        <w:pStyle w:val="FirstParagraph"/>
      </w:pPr>
      <w:r>
        <w:t xml:space="preserve">This report is based on the data provided by iodunivrhx and publicly available industry-standard emission factors (e.g., Ecoinvent/DEFRA). While every effort has been made to ensure accuracy and completeness in accordance with the GHG Protocol Product Standard and the 2026 LSR Update, certain limitations apply:</w:t>
      </w:r>
    </w:p>
    <w:p>
      <w:pPr>
        <w:numPr>
          <w:ilvl w:val="0"/>
          <w:numId w:val="1018"/>
        </w:numPr>
        <w:pStyle w:val="Compact"/>
      </w:pPr>
      <w:r>
        <w:rPr>
          <w:bCs/>
          <w:b/>
        </w:rPr>
        <w:t xml:space="preserve">Illustrative Data:</w:t>
      </w:r>
      <w:r>
        <w:t xml:space="preserve"> </w:t>
      </w:r>
      <w:r>
        <w:t xml:space="preserve">Specific numerical values for BOM emission factors, transport emission factors, use phase grid mix, and EoL scenarios are illustrative averages or hypothetical examples, based on the *format* of the provided placeholder parameters (e.g., tdzjgmpo, xvtisriruk, fizhmgppuw) and general industry data. They serve to demonstrate the methodology rather than representing precise primary data from iodunivrhx\'s actual operations.</w:t>
      </w:r>
    </w:p>
    <w:p>
      <w:pPr>
        <w:numPr>
          <w:ilvl w:val="0"/>
          <w:numId w:val="1018"/>
        </w:numPr>
        <w:pStyle w:val="Compact"/>
      </w:pPr>
      <w:r>
        <w:rPr>
          <w:bCs/>
          <w:b/>
        </w:rPr>
        <w:t xml:space="preserve">System Boundary:</w:t>
      </w:r>
      <w:r>
        <w:t xml:space="preserve"> </w:t>
      </w:r>
      <w:r>
        <w:t xml:space="preserve">While comprehensive, certain upstream (e.g., capital goods) and downstream (e.g., employee commuting) Scope 3 categories were excluded due to their likely immateriality for a product-level PCF or lack of specific data, but the 95% Scope 3 coverage target has been maintained for material categories.</w:t>
      </w:r>
    </w:p>
    <w:p>
      <w:pPr>
        <w:numPr>
          <w:ilvl w:val="0"/>
          <w:numId w:val="1018"/>
        </w:numPr>
        <w:pStyle w:val="Compact"/>
      </w:pPr>
      <w:r>
        <w:rPr>
          <w:bCs/>
          <w:b/>
        </w:rPr>
        <w:t xml:space="preserve">Dynamic Nature:</w:t>
      </w:r>
      <w:r>
        <w:t xml:space="preserve"> </w:t>
      </w:r>
      <w:r>
        <w:t xml:space="preserve">Emission factors and energy mixes can change over time. This report reflects the best available data at the time of generation and referenced sources.</w:t>
      </w:r>
    </w:p>
    <w:bookmarkEnd w:id="47"/>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xodqrtplvl</dc:title>
  <dc:creator/>
  <dc:description>High-detail Product Carbon Footprint (PCF) analysis for xodqrtplvl, adhering to GHG Protocol and 2026 LSR standards, performed by gzjqxspwet for iodunivrhx.</dc:description>
  <cp:keywords/>
  <dcterms:created xsi:type="dcterms:W3CDTF">2026-05-30T16:48:17Z</dcterms:created>
  <dcterms:modified xsi:type="dcterms:W3CDTF">2026-05-30T16:48:17Z</dcterms:modified>
</cp:coreProperties>
</file>

<file path=docProps/custom.xml><?xml version="1.0" encoding="utf-8"?>
<Properties xmlns="http://schemas.openxmlformats.org/officeDocument/2006/custom-properties" xmlns:vt="http://schemas.openxmlformats.org/officeDocument/2006/docPropsVTypes"/>
</file>