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xnyrdwvvem</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xnyrdwvvem</w:t>
      </w:r>
    </w:p>
    <w:p>
      <w:pPr>
        <w:pStyle w:val="BodyText"/>
      </w:pPr>
      <w:r>
        <w:t xml:space="preserve">Protocol Data (Accounting Standard): GHG Protocol</w:t>
      </w:r>
    </w:p>
    <w:p>
      <w:pPr>
        <w:pStyle w:val="BodyText"/>
      </w:pPr>
      <w:r>
        <w:t xml:space="preserve">Name of the Company: klynmmsmgd</w:t>
      </w:r>
    </w:p>
    <w:p>
      <w:pPr>
        <w:pStyle w:val="BodyText"/>
      </w:pPr>
      <w:r>
        <w:t xml:space="preserve">Senior Sustainability Consultant: riodiypkzj</w:t>
      </w:r>
    </w:p>
    <w:p>
      <w:pPr>
        <w:pStyle w:val="BodyText"/>
      </w:pPr>
      <w:r>
        <w:rPr>
          <w:iCs/>
          <w:i/>
        </w:rPr>
        <w:t xml:space="preserve">Disclaimer: This report is generated based on available data and industry standards.</w:t>
      </w:r>
      <w:r>
        <w:rPr>
          <w:iCs/>
          <w:i/>
        </w:rPr>
        <w:t xml:space="preserve"> </w:t>
      </w:r>
      <w:r>
        <w:rPr>
          <w:iCs/>
          <w:i/>
        </w:rPr>
        <w:t xml:space="preserve">The calculations rely on specified parameters and assumptions for emission factors.</w:t>
      </w:r>
      <w:r>
        <w:rPr>
          <w:iCs/>
          <w:i/>
        </w:rPr>
        <w:t xml:space="preserve"> </w:t>
      </w:r>
      <w:r>
        <w:rPr>
          <w:iCs/>
          <w:i/>
        </w:rPr>
        <w:t xml:space="preserve">Results are indicative and intended for internal assessment and strategic planning.</w:t>
      </w:r>
    </w:p>
    <w:bookmarkEnd w:id="20"/>
    <w:bookmarkStart w:id="21" w:name="Xc9c9fa577e01e9794aaefe65159d15f77b32359"/>
    <w:p>
      <w:pPr>
        <w:pStyle w:val="Heading1"/>
      </w:pPr>
      <w:r>
        <w:t xml:space="preserve">Product Carbon Footprint Analysis Report: xnyrdwvvem</w:t>
      </w:r>
    </w:p>
    <w:p>
      <w:pPr>
        <w:pStyle w:val="FirstParagraph"/>
      </w:pPr>
      <w:r>
        <w:rPr>
          <w:bCs/>
          <w:b/>
        </w:rPr>
        <w:t xml:space="preserve">Generated Date:</w:t>
      </w:r>
      <w:r>
        <w:t xml:space="preserve"> </w:t>
      </w:r>
      <w:r>
        <w:t xml:space="preserve">June 2, 2026</w:t>
      </w:r>
    </w:p>
    <w:p>
      <w:pPr>
        <w:pStyle w:val="BodyText"/>
      </w:pPr>
      <w:r>
        <w:rPr>
          <w:bCs/>
          <w:b/>
        </w:rPr>
        <w:t xml:space="preserve">Prepared by:</w:t>
      </w:r>
      <w:r>
        <w:t xml:space="preserve"> </w:t>
      </w:r>
      <w:r>
        <w:t xml:space="preserve">riodiypkzj, Senior Sustainability Consultant</w:t>
      </w:r>
    </w:p>
    <w:p>
      <w:pPr>
        <w:pStyle w:val="BodyText"/>
      </w:pPr>
      <w:r>
        <w:rPr>
          <w:bCs/>
          <w:b/>
        </w:rPr>
        <w:t xml:space="preserve">For:</w:t>
      </w:r>
      <w:r>
        <w:t xml:space="preserve"> </w:t>
      </w:r>
      <w:r>
        <w:t xml:space="preserve">klynmmsmgd</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xnyrdwvvem</w:t>
      </w:r>
      <w:r>
        <w:t xml:space="preserve">, manufactured by</w:t>
      </w:r>
      <w:r>
        <w:t xml:space="preserve"> </w:t>
      </w:r>
      <w:r>
        <w:rPr>
          <w:bCs/>
          <w:b/>
        </w:rPr>
        <w:t xml:space="preserve">klynmmsmgd</w:t>
      </w:r>
      <w:r>
        <w:t xml:space="preserve">. The assessment was conducted by</w:t>
      </w:r>
      <w:r>
        <w:t xml:space="preserve"> </w:t>
      </w:r>
      <w:r>
        <w:rPr>
          <w:bCs/>
          <w:b/>
        </w:rPr>
        <w:t xml:space="preserve">riodiypkzj</w:t>
      </w:r>
      <w:r>
        <w:t xml:space="preserve">, a Senior Sustainability Consultant specializing in GHG Protocol. Adhering to the GHG Protocol\'s cradle-to-grave methodology, the analysis quantifies greenhouse gas (GHG) emissions across the product\'s entire lifecycle, from material sourcing and production to use phase and end-of-life. Special attention has been given to the 2026 Land Sector and Removals (LSR) Standard update and ensuring comprehensive Scope 3 coverage. The primary goal is to identify emission hotspots and inform strategic sustainability initiatives for klynmmsmgd.</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as follows, in accordance with the GHG Protocol:</w:t>
      </w:r>
    </w:p>
    <w:p>
      <w:pPr>
        <w:numPr>
          <w:ilvl w:val="0"/>
          <w:numId w:val="1001"/>
        </w:numPr>
        <w:pStyle w:val="Compact"/>
      </w:pPr>
      <w:r>
        <w:rPr>
          <w:bCs/>
          <w:b/>
        </w:rPr>
        <w:t xml:space="preserve">Functional Unit:</w:t>
      </w:r>
      <w:r>
        <w:t xml:space="preserve"> </w:t>
      </w:r>
      <w:r>
        <w:t xml:space="preserve">1.0 unit of xnyrdwvvem.</w:t>
      </w:r>
    </w:p>
    <w:p>
      <w:pPr>
        <w:numPr>
          <w:ilvl w:val="0"/>
          <w:numId w:val="1001"/>
        </w:numPr>
        <w:pStyle w:val="Compact"/>
      </w:pPr>
      <w:r>
        <w:rPr>
          <w:bCs/>
          <w:b/>
        </w:rPr>
        <w:t xml:space="preserve">System Boundary:</w:t>
      </w:r>
      <w:r>
        <w:t xml:space="preserve"> </w:t>
      </w:r>
      <w:r>
        <w:t xml:space="preserve">While the primary reporting boundary for the PCF is "factory_gate", a comprehensive cradle-to-grave analysis, encompassing raw material acquisition, manufacturing, distribution, use, and end-of-life, has been performed to identify all significant emission sources as per the detailed requirements.</w:t>
      </w:r>
    </w:p>
    <w:p>
      <w:pPr>
        <w:numPr>
          <w:ilvl w:val="0"/>
          <w:numId w:val="1001"/>
        </w:numPr>
        <w:pStyle w:val="Compact"/>
      </w:pPr>
      <w:r>
        <w:rPr>
          <w:bCs/>
          <w:b/>
        </w:rPr>
        <w:t xml:space="preserve">Geographic Scope:</w:t>
      </w:r>
      <w:r>
        <w:t xml:space="preserve"> </w:t>
      </w:r>
      <w:r>
        <w:t xml:space="preserve">Final production country is China, with a supply chain focus on Europe for distribution and consumption patterns.</w:t>
      </w:r>
    </w:p>
    <w:p>
      <w:pPr>
        <w:numPr>
          <w:ilvl w:val="0"/>
          <w:numId w:val="1001"/>
        </w:numPr>
        <w:pStyle w:val="Compact"/>
      </w:pPr>
      <w:r>
        <w:rPr>
          <w:bCs/>
          <w:b/>
        </w:rPr>
        <w:t xml:space="preserve">Allocation:</w:t>
      </w:r>
      <w:r>
        <w:t xml:space="preserve"> </w:t>
      </w:r>
      <w:r>
        <w:t xml:space="preserve">Emissions are allocated directly to the functional unit. For shared processes or infrastructure, appropriate mass or economic allocation methods are applied based on best available data and industry standards.</w:t>
      </w:r>
    </w:p>
    <w:p>
      <w:pPr>
        <w:numPr>
          <w:ilvl w:val="0"/>
          <w:numId w:val="1001"/>
        </w:numPr>
        <w:pStyle w:val="Compact"/>
      </w:pPr>
      <w:r>
        <w:rPr>
          <w:bCs/>
          <w:b/>
        </w:rPr>
        <w:t xml:space="preserve">Accounting Standard:</w:t>
      </w:r>
      <w:r>
        <w:t xml:space="preserve"> </w:t>
      </w:r>
      <w:r>
        <w:t xml:space="preserve">GHG Protocol Product Standard.</w:t>
      </w:r>
    </w:p>
    <w:p>
      <w:r>
        <w:pict>
          <v:rect style="width:0;height:1.5pt" o:hralign="center" o:hrstd="t" o:hr="t"/>
        </w:pict>
      </w:r>
    </w:p>
    <w:bookmarkEnd w:id="23"/>
    <w:bookmarkStart w:id="29" w:name="lifecycle-inventory-data-collection"/>
    <w:p>
      <w:pPr>
        <w:pStyle w:val="Heading2"/>
      </w:pPr>
      <w:r>
        <w:t xml:space="preserve">2. &amp; 3. Lifecycle Inventory &amp; Data Collection</w:t>
      </w:r>
    </w:p>
    <w:p>
      <w:pPr>
        <w:pStyle w:val="FirstParagraph"/>
      </w:pPr>
      <w:r>
        <w:t xml:space="preserve">This section details the inputs and processes across the product\'s lifecycle, incorporating both primary and secondary data points. The analysis follows a cradle-to-grave approach to ensure comprehensive coverage, aligning with the GHG Protocol\'s requirements for detailed lifecycle mapping.</w:t>
      </w:r>
    </w:p>
    <w:bookmarkStart w:id="24" w:name="X3cfeacc2d476bf6a75ec07d30eb19409b61ef7d"/>
    <w:p>
      <w:pPr>
        <w:pStyle w:val="Heading3"/>
      </w:pPr>
      <w:r>
        <w:t xml:space="preserve">2.1. Material Acquisition &amp; Manufacturing (Upstream - Scope 3)</w:t>
      </w:r>
    </w:p>
    <w:p>
      <w:pPr>
        <w:pStyle w:val="FirstParagraph"/>
      </w:pPr>
      <w:r>
        <w:t xml:space="preserve">The following Detailed Bill of Materials (BOM) for</w:t>
      </w:r>
      <w:r>
        <w:t xml:space="preserve"> </w:t>
      </w:r>
      <w:r>
        <w:rPr>
          <w:bCs/>
          <w:b/>
        </w:rPr>
        <w:t xml:space="preserve">xnyrdwvvem</w:t>
      </w:r>
      <w:r>
        <w:t xml:space="preserve">, identified as `epmtkgox`, forms the basis for material impact calculations. The provided emission factors and total carbon values are directly utilized.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M002</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0.100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0.100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0.075</w:t>
            </w:r>
          </w:p>
        </w:tc>
      </w:tr>
      <w:tr>
        <w:tc>
          <w:tcPr/>
          <w:p>
            <w:pPr>
              <w:pStyle w:val="Compact"/>
              <w:jc w:val="left"/>
            </w:pPr>
            <w:r>
              <w:t xml:space="preserve">M006</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0.030</w:t>
            </w:r>
          </w:p>
        </w:tc>
      </w:tr>
      <w:tr>
        <w:tc>
          <w:tcPr>
            <w:gridSpan w:val="7"/>
          </w:tcPr>
          <w:p>
            <w:pPr>
              <w:pStyle w:val="Compact"/>
              <w:jc w:val="right"/>
            </w:pPr>
            <w:r>
              <w:rPr>
                <w:bCs/>
                <w:b/>
              </w:rPr>
              <w:t xml:space="preserve">Total Material Footprint:</w:t>
            </w:r>
          </w:p>
        </w:tc>
        <w:tc>
          <w:tcPr/>
          <w:p>
            <w:pPr>
              <w:pStyle w:val="Compact"/>
              <w:jc w:val="left"/>
            </w:pPr>
            <w:r>
              <w:rPr>
                <w:bCs/>
                <w:b/>
              </w:rPr>
              <w:t xml:space="preserve">2.555 kg CO2e</w:t>
            </w:r>
          </w:p>
        </w:tc>
      </w:tr>
    </w:tbl>
    <w:bookmarkEnd w:id="24"/>
    <w:bookmarkStart w:id="25" w:name="X3f8a2c65e0afef969de583572b6a78abb978fa7"/>
    <w:p>
      <w:pPr>
        <w:pStyle w:val="Heading3"/>
      </w:pPr>
      <w:r>
        <w:t xml:space="preserve">2.2. Production Phase (Direct &amp; Purchased Energy - Scope 1 &amp; 2)</w:t>
      </w:r>
    </w:p>
    <w:p>
      <w:pPr>
        <w:pStyle w:val="FirstParagraph"/>
      </w:pPr>
      <w:r>
        <w:t xml:space="preserve">The manufacturing process for xnyrdwvvem occurs in China. Energy consumption and source mix are critical factors in this phase.</w:t>
      </w:r>
    </w:p>
    <w:p>
      <w:pPr>
        <w:numPr>
          <w:ilvl w:val="0"/>
          <w:numId w:val="1002"/>
        </w:numPr>
        <w:pStyle w:val="Compact"/>
      </w:pPr>
      <w:r>
        <w:rPr>
          <w:bCs/>
          <w:b/>
        </w:rPr>
        <w:t xml:space="preserve">Energy Intensity (kWh/unit):</w:t>
      </w:r>
      <w:r>
        <w:t xml:space="preserve"> </w:t>
      </w:r>
      <w:r>
        <w:t xml:space="preserve">5 kWh/unit (`ovwilunzss`)</w:t>
      </w:r>
    </w:p>
    <w:p>
      <w:pPr>
        <w:numPr>
          <w:ilvl w:val="0"/>
          <w:numId w:val="1002"/>
        </w:numPr>
        <w:pStyle w:val="Compact"/>
      </w:pPr>
      <w:r>
        <w:rPr>
          <w:bCs/>
          <w:b/>
        </w:rPr>
        <w:t xml:space="preserve">Renewable Energy Usage:</w:t>
      </w:r>
      <w:r>
        <w:t xml:space="preserve"> </w:t>
      </w:r>
      <w:r>
        <w:t xml:space="preserve">30% (`esxksmjlgn`)</w:t>
      </w:r>
    </w:p>
    <w:p>
      <w:pPr>
        <w:numPr>
          <w:ilvl w:val="0"/>
          <w:numId w:val="1002"/>
        </w:numPr>
        <w:pStyle w:val="Compact"/>
      </w:pPr>
      <w:r>
        <w:rPr>
          <w:bCs/>
          <w:b/>
        </w:rPr>
        <w:t xml:space="preserve">Non-Renewable Energy Usage:</w:t>
      </w:r>
      <w:r>
        <w:t xml:space="preserve"> </w:t>
      </w:r>
      <w:r>
        <w:t xml:space="preserve">70%</w:t>
      </w:r>
    </w:p>
    <w:p>
      <w:pPr>
        <w:numPr>
          <w:ilvl w:val="0"/>
          <w:numId w:val="1002"/>
        </w:numPr>
        <w:pStyle w:val="Compact"/>
      </w:pPr>
      <w:r>
        <w:rPr>
          <w:bCs/>
          <w:b/>
        </w:rPr>
        <w:t xml:space="preserve">Assumed Electricity Emission Factor (China Grid Mix):</w:t>
      </w:r>
      <w:r>
        <w:t xml:space="preserve"> </w:t>
      </w:r>
      <w:r>
        <w:t xml:space="preserve">0.6 kg CO2e/kWh.</w:t>
      </w:r>
    </w:p>
    <w:p>
      <w:pPr>
        <w:numPr>
          <w:ilvl w:val="0"/>
          <w:numId w:val="1002"/>
        </w:numPr>
        <w:pStyle w:val="Compact"/>
      </w:pPr>
      <w:r>
        <w:rPr>
          <w:bCs/>
          <w:b/>
        </w:rPr>
        <w:t xml:space="preserve">Calculated Non-Renewable Energy Consumption:</w:t>
      </w:r>
      <w:r>
        <w:t xml:space="preserve"> </w:t>
      </w:r>
      <w:r>
        <w:t xml:space="preserve">5 kWh/unit * (1 - 0.30) = 3.5 kWh/unit</w:t>
      </w:r>
    </w:p>
    <w:bookmarkEnd w:id="25"/>
    <w:bookmarkStart w:id="26" w:name="Xa1301850e1b63b394584bc8d7da56ddc0766a83"/>
    <w:p>
      <w:pPr>
        <w:pStyle w:val="Heading3"/>
      </w:pPr>
      <w:r>
        <w:t xml:space="preserve">2.3. Transport &amp; Distribution (Downstream - Scope 3)</w:t>
      </w:r>
    </w:p>
    <w:p>
      <w:pPr>
        <w:pStyle w:val="FirstParagraph"/>
      </w:pPr>
      <w:r>
        <w:t xml:space="preserve">Transportation from the production facility to the point of sale in Europe, including last-mile delivery, significantly contributes to the product\'s footprint.</w:t>
      </w:r>
    </w:p>
    <w:p>
      <w:pPr>
        <w:numPr>
          <w:ilvl w:val="0"/>
          <w:numId w:val="1003"/>
        </w:numPr>
        <w:pStyle w:val="Compact"/>
      </w:pPr>
      <w:r>
        <w:rPr>
          <w:bCs/>
          <w:b/>
        </w:rPr>
        <w:t xml:space="preserve">Total Product Weight (estimated, including PCB for transport calculation):</w:t>
      </w:r>
      <w:r>
        <w:t xml:space="preserve"> </w:t>
      </w:r>
      <w:r>
        <w:t xml:space="preserve">0.85 kg</w:t>
      </w:r>
    </w:p>
    <w:p>
      <w:pPr>
        <w:numPr>
          <w:ilvl w:val="0"/>
          <w:numId w:val="1003"/>
        </w:numPr>
        <w:pStyle w:val="Compact"/>
      </w:pPr>
      <w:r>
        <w:rPr>
          <w:bCs/>
          <w:b/>
        </w:rPr>
        <w:t xml:space="preserve">Primary Transport Mode (Factory to Distribution Center):</w:t>
      </w:r>
      <w:r>
        <w:t xml:space="preserve"> </w:t>
      </w:r>
      <w:r>
        <w:t xml:space="preserve">Road freight (HGV &gt; 20t, Euro VI) (`Select Mode`)</w:t>
      </w:r>
    </w:p>
    <w:p>
      <w:pPr>
        <w:numPr>
          <w:ilvl w:val="0"/>
          <w:numId w:val="1003"/>
        </w:numPr>
        <w:pStyle w:val="Compact"/>
      </w:pPr>
      <w:r>
        <w:rPr>
          <w:bCs/>
          <w:b/>
        </w:rPr>
        <w:t xml:space="preserve">Transport Distance (Factory to Distribution Center):</w:t>
      </w:r>
      <w:r>
        <w:t xml:space="preserve"> </w:t>
      </w:r>
      <w:r>
        <w:t xml:space="preserve">1500 km (`xlnhqdhxxn`)</w:t>
      </w:r>
    </w:p>
    <w:p>
      <w:pPr>
        <w:numPr>
          <w:ilvl w:val="0"/>
          <w:numId w:val="1003"/>
        </w:numPr>
        <w:pStyle w:val="Compact"/>
      </w:pPr>
      <w:r>
        <w:rPr>
          <w:bCs/>
          <w:b/>
        </w:rPr>
        <w:t xml:space="preserve">Assumed Emission Factor (Road freight, HGV &gt; 20t, Euro VI):</w:t>
      </w:r>
      <w:r>
        <w:t xml:space="preserve"> </w:t>
      </w:r>
      <w:r>
        <w:t xml:space="preserve">0.020 kg CO2e/tonne-km.</w:t>
      </w:r>
    </w:p>
    <w:p>
      <w:pPr>
        <w:numPr>
          <w:ilvl w:val="0"/>
          <w:numId w:val="1003"/>
        </w:numPr>
        <w:pStyle w:val="Compact"/>
      </w:pPr>
      <w:r>
        <w:rPr>
          <w:bCs/>
          <w:b/>
        </w:rPr>
        <w:t xml:space="preserve">Last-Mile Delivery Channel:</w:t>
      </w:r>
      <w:r>
        <w:t xml:space="preserve"> </w:t>
      </w:r>
      <w:r>
        <w:t xml:space="preserve">Light Commercial Vehicle (LCV) (`Delivery Type`)</w:t>
      </w:r>
    </w:p>
    <w:p>
      <w:pPr>
        <w:numPr>
          <w:ilvl w:val="0"/>
          <w:numId w:val="1003"/>
        </w:numPr>
        <w:pStyle w:val="Compact"/>
      </w:pPr>
      <w:r>
        <w:rPr>
          <w:bCs/>
          <w:b/>
        </w:rPr>
        <w:t xml:space="preserve">Assumed Emission Factor (LCV, vehicle emissions):</w:t>
      </w:r>
      <w:r>
        <w:t xml:space="preserve"> </w:t>
      </w:r>
      <w:r>
        <w:t xml:space="preserve">0.25 kg CO2e/km (per vehicle).</w:t>
      </w:r>
    </w:p>
    <w:p>
      <w:pPr>
        <w:numPr>
          <w:ilvl w:val="0"/>
          <w:numId w:val="1003"/>
        </w:numPr>
        <w:pStyle w:val="Compact"/>
      </w:pPr>
      <w:r>
        <w:rPr>
          <w:bCs/>
          <w:b/>
        </w:rPr>
        <w:t xml:space="preserve">Assumed Last-Mile Distance:</w:t>
      </w:r>
      <w:r>
        <w:t xml:space="preserve"> </w:t>
      </w:r>
      <w:r>
        <w:t xml:space="preserve">50 km (average for urban/suburban delivery)</w:t>
      </w:r>
    </w:p>
    <w:p>
      <w:pPr>
        <w:numPr>
          <w:ilvl w:val="0"/>
          <w:numId w:val="1003"/>
        </w:numPr>
        <w:pStyle w:val="Compact"/>
      </w:pPr>
      <w:r>
        <w:rPr>
          <w:bCs/>
          <w:b/>
        </w:rPr>
        <w:t xml:space="preserve">Assumed LCV Capacity for Allocation:</w:t>
      </w:r>
      <w:r>
        <w:t xml:space="preserve"> </w:t>
      </w:r>
      <w:r>
        <w:t xml:space="preserve">100 units</w:t>
      </w:r>
    </w:p>
    <w:bookmarkEnd w:id="26"/>
    <w:bookmarkStart w:id="27" w:name="use-phase-downstream---scope-3"/>
    <w:p>
      <w:pPr>
        <w:pStyle w:val="Heading3"/>
      </w:pPr>
      <w:r>
        <w:t xml:space="preserve">2.4. Use Phase (Downstream - Scope 3)</w:t>
      </w:r>
    </w:p>
    <w:p>
      <w:pPr>
        <w:pStyle w:val="FirstParagraph"/>
      </w:pPr>
      <w:r>
        <w:t xml:space="preserve">The energy consumed during the product\'s operational lifetime is a key component of its overall impact.</w:t>
      </w:r>
    </w:p>
    <w:p>
      <w:pPr>
        <w:numPr>
          <w:ilvl w:val="0"/>
          <w:numId w:val="1004"/>
        </w:numPr>
        <w:pStyle w:val="Compact"/>
      </w:pPr>
      <w:r>
        <w:rPr>
          <w:bCs/>
          <w:b/>
        </w:rPr>
        <w:t xml:space="preserve">Product Lifespan:</w:t>
      </w:r>
      <w:r>
        <w:t xml:space="preserve"> </w:t>
      </w:r>
      <w:r>
        <w:t xml:space="preserve">3 years (`djdzovpmgf`)</w:t>
      </w:r>
    </w:p>
    <w:p>
      <w:pPr>
        <w:numPr>
          <w:ilvl w:val="0"/>
          <w:numId w:val="1004"/>
        </w:numPr>
        <w:pStyle w:val="Compact"/>
      </w:pPr>
      <w:r>
        <w:rPr>
          <w:bCs/>
          <w:b/>
        </w:rPr>
        <w:t xml:space="preserve">Energy Consumption in Use (per year):</w:t>
      </w:r>
      <w:r>
        <w:t xml:space="preserve"> </w:t>
      </w:r>
      <w:r>
        <w:t xml:space="preserve">15 kWh/year (`gvutgjvksr`)</w:t>
      </w:r>
    </w:p>
    <w:p>
      <w:pPr>
        <w:numPr>
          <w:ilvl w:val="0"/>
          <w:numId w:val="1004"/>
        </w:numPr>
        <w:pStyle w:val="Compact"/>
      </w:pPr>
      <w:r>
        <w:rPr>
          <w:bCs/>
          <w:b/>
        </w:rPr>
        <w:t xml:space="preserve">Total Energy Consumption over Lifespan:</w:t>
      </w:r>
      <w:r>
        <w:t xml:space="preserve"> </w:t>
      </w:r>
      <w:r>
        <w:t xml:space="preserve">15 kWh/year * 3 years = 45 kWh</w:t>
      </w:r>
    </w:p>
    <w:p>
      <w:pPr>
        <w:numPr>
          <w:ilvl w:val="0"/>
          <w:numId w:val="1004"/>
        </w:numPr>
        <w:pStyle w:val="Compact"/>
      </w:pPr>
      <w:r>
        <w:rPr>
          <w:bCs/>
          <w:b/>
        </w:rPr>
        <w:t xml:space="preserve">Assumed Electricity Emission Factor (European Average Grid Mix):</w:t>
      </w:r>
      <w:r>
        <w:t xml:space="preserve"> </w:t>
      </w:r>
      <w:r>
        <w:t xml:space="preserve">0.25 kg CO2e/kWh.</w:t>
      </w:r>
    </w:p>
    <w:bookmarkEnd w:id="27"/>
    <w:bookmarkStart w:id="28" w:name="end-of-life-downstream---scope-3"/>
    <w:p>
      <w:pPr>
        <w:pStyle w:val="Heading3"/>
      </w:pPr>
      <w:r>
        <w:t xml:space="preserve">2.5. End-of-Life (Downstream - Scope 3)</w:t>
      </w:r>
    </w:p>
    <w:p>
      <w:pPr>
        <w:pStyle w:val="FirstParagraph"/>
      </w:pPr>
      <w:r>
        <w:t xml:space="preserve">The end-of-life treatment of the product, including recycling and disposal, impacts its total footprint and reflects circular economy principles.</w:t>
      </w:r>
    </w:p>
    <w:p>
      <w:pPr>
        <w:numPr>
          <w:ilvl w:val="0"/>
          <w:numId w:val="1005"/>
        </w:numPr>
        <w:pStyle w:val="Compact"/>
      </w:pPr>
      <w:r>
        <w:rPr>
          <w:bCs/>
          <w:b/>
        </w:rPr>
        <w:t xml:space="preserve">Recyclability Percentage:</w:t>
      </w:r>
      <w:r>
        <w:t xml:space="preserve"> </w:t>
      </w:r>
      <w:r>
        <w:t xml:space="preserve">60% (`keyujvihod`)</w:t>
      </w:r>
    </w:p>
    <w:p>
      <w:pPr>
        <w:numPr>
          <w:ilvl w:val="0"/>
          <w:numId w:val="1005"/>
        </w:numPr>
        <w:pStyle w:val="Compact"/>
      </w:pPr>
      <w:r>
        <w:rPr>
          <w:bCs/>
          <w:b/>
        </w:rPr>
        <w:t xml:space="preserve">Circular/Take-back Programs:</w:t>
      </w:r>
      <w:r>
        <w:t xml:space="preserve"> </w:t>
      </w:r>
      <w:r>
        <w:t xml:space="preserve">Yes, active (`pylerdmgqp`)</w:t>
      </w:r>
    </w:p>
    <w:p>
      <w:pPr>
        <w:numPr>
          <w:ilvl w:val="0"/>
          <w:numId w:val="1005"/>
        </w:numPr>
        <w:pStyle w:val="Compact"/>
      </w:pPr>
      <w:r>
        <w:rPr>
          <w:bCs/>
          <w:b/>
        </w:rPr>
        <w:t xml:space="preserve">Material for Recycling:</w:t>
      </w:r>
      <w:r>
        <w:t xml:space="preserve"> </w:t>
      </w:r>
      <w:r>
        <w:t xml:space="preserve">0.85 kg * 0.60 = 0.51 kg</w:t>
      </w:r>
    </w:p>
    <w:p>
      <w:pPr>
        <w:numPr>
          <w:ilvl w:val="0"/>
          <w:numId w:val="1005"/>
        </w:numPr>
        <w:pStyle w:val="Compact"/>
      </w:pPr>
      <w:r>
        <w:rPr>
          <w:bCs/>
          <w:b/>
        </w:rPr>
        <w:t xml:space="preserve">Material for Disposal (Non-Recycled):</w:t>
      </w:r>
      <w:r>
        <w:t xml:space="preserve"> </w:t>
      </w:r>
      <w:r>
        <w:t xml:space="preserve">0.85 kg * 0.40 = 0.34 kg</w:t>
      </w:r>
    </w:p>
    <w:p>
      <w:pPr>
        <w:numPr>
          <w:ilvl w:val="0"/>
          <w:numId w:val="1005"/>
        </w:numPr>
        <w:pStyle w:val="Compact"/>
      </w:pPr>
      <w:r>
        <w:rPr>
          <w:bCs/>
          <w:b/>
        </w:rPr>
        <w:t xml:space="preserve">Assumed Average Recycling Credit (avoided virgin production):</w:t>
      </w:r>
      <w:r>
        <w:t xml:space="preserve"> </w:t>
      </w:r>
      <w:r>
        <w:t xml:space="preserve">-1.0 kg CO2e/kg.</w:t>
      </w:r>
    </w:p>
    <w:p>
      <w:pPr>
        <w:numPr>
          <w:ilvl w:val="0"/>
          <w:numId w:val="1005"/>
        </w:numPr>
        <w:pStyle w:val="Compact"/>
      </w:pPr>
      <w:r>
        <w:rPr>
          <w:bCs/>
          <w:b/>
        </w:rPr>
        <w:t xml:space="preserve">Assumed Disposal Emission Factor (Landfill/Incineration):</w:t>
      </w:r>
      <w:r>
        <w:t xml:space="preserve"> </w:t>
      </w:r>
      <w:r>
        <w:t xml:space="preserve">0.1 kg CO2e/kg.</w:t>
      </w:r>
    </w:p>
    <w:p>
      <w:r>
        <w:pict>
          <v:rect style="width:0;height:1.5pt" o:hralign="center" o:hrstd="t" o:hr="t"/>
        </w:pict>
      </w:r>
    </w:p>
    <w:bookmarkEnd w:id="28"/>
    <w:bookmarkEnd w:id="29"/>
    <w:bookmarkStart w:id="36" w:name="Xdd1c2ba429305467bad58a0828410d9d0fce25c"/>
    <w:p>
      <w:pPr>
        <w:pStyle w:val="Heading2"/>
      </w:pPr>
      <w:r>
        <w:t xml:space="preserve">4. Emissions Calculation (Activity * Emission Factor = CO2e)</w:t>
      </w:r>
    </w:p>
    <w:p>
      <w:pPr>
        <w:pStyle w:val="FirstParagraph"/>
      </w:pPr>
      <w:r>
        <w:t xml:space="preserve">This section quantifies the GHG emissions for each life cycle stage, categorized according to the GHG Protocol\'s Scope 1, 2, and 3 classifications. The 2026 Land Sector and Removals (LSR) Standard has been considered for relevant land-use impacts, primarily embedded in material production.</w:t>
      </w:r>
    </w:p>
    <w:bookmarkStart w:id="30" w:name="Xda10833f9ec89e1a4258244220ecc598f52ea14"/>
    <w:p>
      <w:pPr>
        <w:pStyle w:val="Heading3"/>
      </w:pPr>
      <w:r>
        <w:t xml:space="preserve">4.1. Material Acquisition &amp; Manufacturing (Scope 3 - Upstream)</w:t>
      </w:r>
    </w:p>
    <w:p>
      <w:pPr>
        <w:pStyle w:val="FirstParagraph"/>
      </w:pPr>
      <w:r>
        <w:t xml:space="preserve">Total Material Footprint directly from BOM table:</w:t>
      </w:r>
      <w:r>
        <w:t xml:space="preserve"> </w:t>
      </w:r>
      <w:r>
        <w:rPr>
          <w:bCs/>
          <w:b/>
        </w:rPr>
        <w:t xml:space="preserve">2.555 kg CO2e</w:t>
      </w:r>
    </w:p>
    <w:bookmarkEnd w:id="30"/>
    <w:bookmarkStart w:id="31" w:name="production-phase-scope-2"/>
    <w:p>
      <w:pPr>
        <w:pStyle w:val="Heading3"/>
      </w:pPr>
      <w:r>
        <w:t xml:space="preserve">4.2. Production Phase (Scope 2)</w:t>
      </w:r>
    </w:p>
    <w:p>
      <w:pPr>
        <w:pStyle w:val="FirstParagraph"/>
      </w:pPr>
      <w:r>
        <w:t xml:space="preserve">Emissions from purchased electricity for manufacturing:</w:t>
      </w:r>
    </w:p>
    <w:p>
      <w:pPr>
        <w:numPr>
          <w:ilvl w:val="0"/>
          <w:numId w:val="1006"/>
        </w:numPr>
        <w:pStyle w:val="Compact"/>
      </w:pPr>
      <w:r>
        <w:t xml:space="preserve">Non-Renewable Energy Consumption: 3.5 kWh/unit</w:t>
      </w:r>
    </w:p>
    <w:p>
      <w:pPr>
        <w:numPr>
          <w:ilvl w:val="0"/>
          <w:numId w:val="1006"/>
        </w:numPr>
        <w:pStyle w:val="Compact"/>
      </w:pPr>
      <w:r>
        <w:t xml:space="preserve">China Grid Mix EF: 0.6 kg CO2e/kWh</w:t>
      </w:r>
    </w:p>
    <w:p>
      <w:pPr>
        <w:numPr>
          <w:ilvl w:val="0"/>
          <w:numId w:val="1006"/>
        </w:numPr>
        <w:pStyle w:val="Compact"/>
      </w:pPr>
      <w:r>
        <w:rPr>
          <w:bCs/>
          <w:b/>
        </w:rPr>
        <w:t xml:space="preserve">Production Emissions:</w:t>
      </w:r>
      <w:r>
        <w:t xml:space="preserve"> </w:t>
      </w:r>
      <w:r>
        <w:t xml:space="preserve">3.5 kWh/unit * 0.6 kg CO2e/kWh =</w:t>
      </w:r>
      <w:r>
        <w:t xml:space="preserve"> </w:t>
      </w:r>
      <w:r>
        <w:rPr>
          <w:bCs/>
          <w:b/>
        </w:rPr>
        <w:t xml:space="preserve">2.100 kg CO2e</w:t>
      </w:r>
    </w:p>
    <w:p>
      <w:pPr>
        <w:pStyle w:val="FirstParagraph"/>
      </w:pPr>
      <w:r>
        <w:rPr>
          <w:iCs/>
          <w:i/>
        </w:rPr>
        <w:t xml:space="preserve">Note: Scope 1 emissions (direct fuel combustion) are assumed negligible for a "factory_gate" system boundary with externally supplied energy, or not specified in the parameters.</w:t>
      </w:r>
    </w:p>
    <w:bookmarkEnd w:id="31"/>
    <w:bookmarkStart w:id="32" w:name="X71c2dcd675df23fc104d48ef6b7ab710cc88cf8"/>
    <w:p>
      <w:pPr>
        <w:pStyle w:val="Heading3"/>
      </w:pPr>
      <w:r>
        <w:t xml:space="preserve">4.3. Transport &amp; Distribution (Scope 3 - Downstream)</w:t>
      </w:r>
    </w:p>
    <w:p>
      <w:pPr>
        <w:numPr>
          <w:ilvl w:val="0"/>
          <w:numId w:val="1007"/>
        </w:numPr>
        <w:pStyle w:val="Compact"/>
      </w:pPr>
      <w:r>
        <w:rPr>
          <w:bCs/>
          <w:b/>
        </w:rPr>
        <w:t xml:space="preserve">Primary Transport (Factory to DC):</w:t>
      </w:r>
    </w:p>
    <w:p>
      <w:pPr>
        <w:numPr>
          <w:ilvl w:val="1"/>
          <w:numId w:val="1008"/>
        </w:numPr>
        <w:pStyle w:val="Compact"/>
      </w:pPr>
      <w:r>
        <w:t xml:space="preserve">Product Mass: 0.85 kg = 0.00085 tonnes</w:t>
      </w:r>
    </w:p>
    <w:p>
      <w:pPr>
        <w:numPr>
          <w:ilvl w:val="1"/>
          <w:numId w:val="1008"/>
        </w:numPr>
        <w:pStyle w:val="Compact"/>
      </w:pPr>
      <w:r>
        <w:t xml:space="preserve">Distance: 1500 km</w:t>
      </w:r>
    </w:p>
    <w:p>
      <w:pPr>
        <w:numPr>
          <w:ilvl w:val="1"/>
          <w:numId w:val="1008"/>
        </w:numPr>
        <w:pStyle w:val="Compact"/>
      </w:pPr>
      <w:r>
        <w:t xml:space="preserve">Emission Factor: 0.020 kg CO2e/tonne-km</w:t>
      </w:r>
    </w:p>
    <w:p>
      <w:pPr>
        <w:numPr>
          <w:ilvl w:val="1"/>
          <w:numId w:val="1008"/>
        </w:numPr>
        <w:pStyle w:val="Compact"/>
      </w:pPr>
      <w:r>
        <w:t xml:space="preserve">Calculation: 0.00085 tonnes * 1500 km * 0.020 kg CO2e/tonne-km =</w:t>
      </w:r>
      <w:r>
        <w:t xml:space="preserve"> </w:t>
      </w:r>
      <w:r>
        <w:rPr>
          <w:bCs/>
          <w:b/>
        </w:rPr>
        <w:t xml:space="preserve">0.0255 kg CO2e</w:t>
      </w:r>
    </w:p>
    <w:p>
      <w:pPr>
        <w:numPr>
          <w:ilvl w:val="0"/>
          <w:numId w:val="1007"/>
        </w:numPr>
        <w:pStyle w:val="Compact"/>
      </w:pPr>
      <w:r>
        <w:rPr>
          <w:bCs/>
          <w:b/>
        </w:rPr>
        <w:t xml:space="preserve">Last-Mile Delivery:</w:t>
      </w:r>
    </w:p>
    <w:p>
      <w:pPr>
        <w:numPr>
          <w:ilvl w:val="1"/>
          <w:numId w:val="1009"/>
        </w:numPr>
        <w:pStyle w:val="Compact"/>
      </w:pPr>
      <w:r>
        <w:t xml:space="preserve">Distance: 50 km</w:t>
      </w:r>
    </w:p>
    <w:p>
      <w:pPr>
        <w:numPr>
          <w:ilvl w:val="1"/>
          <w:numId w:val="1009"/>
        </w:numPr>
        <w:pStyle w:val="Compact"/>
      </w:pPr>
      <w:r>
        <w:t xml:space="preserve">Vehicle Emission Factor: 0.25 kg CO2e/km</w:t>
      </w:r>
    </w:p>
    <w:p>
      <w:pPr>
        <w:numPr>
          <w:ilvl w:val="1"/>
          <w:numId w:val="1009"/>
        </w:numPr>
        <w:pStyle w:val="Compact"/>
      </w:pPr>
      <w:r>
        <w:t xml:space="preserve">Assumed LCV Capacity: 100 units</w:t>
      </w:r>
    </w:p>
    <w:p>
      <w:pPr>
        <w:numPr>
          <w:ilvl w:val="1"/>
          <w:numId w:val="1009"/>
        </w:numPr>
        <w:pStyle w:val="Compact"/>
      </w:pPr>
      <w:r>
        <w:t xml:space="preserve">Calculation: (0.25 kg CO2e/km * 50 km) / 100 units =</w:t>
      </w:r>
      <w:r>
        <w:t xml:space="preserve"> </w:t>
      </w:r>
      <w:r>
        <w:rPr>
          <w:bCs/>
          <w:b/>
        </w:rPr>
        <w:t xml:space="preserve">0.125 kg CO2e</w:t>
      </w:r>
    </w:p>
    <w:p>
      <w:pPr>
        <w:numPr>
          <w:ilvl w:val="0"/>
          <w:numId w:val="1007"/>
        </w:numPr>
        <w:pStyle w:val="Compact"/>
      </w:pPr>
      <w:r>
        <w:rPr>
          <w:bCs/>
          <w:b/>
        </w:rPr>
        <w:t xml:space="preserve">Total Transport Emissions:</w:t>
      </w:r>
      <w:r>
        <w:t xml:space="preserve"> </w:t>
      </w:r>
      <w:r>
        <w:t xml:space="preserve">0.0255 kg CO2e + 0.125 kg CO2e =</w:t>
      </w:r>
      <w:r>
        <w:t xml:space="preserve"> </w:t>
      </w:r>
      <w:r>
        <w:rPr>
          <w:bCs/>
          <w:b/>
        </w:rPr>
        <w:t xml:space="preserve">0.1505 kg CO2e</w:t>
      </w:r>
    </w:p>
    <w:bookmarkEnd w:id="32"/>
    <w:bookmarkStart w:id="33" w:name="use-phase-scope-3---downstream"/>
    <w:p>
      <w:pPr>
        <w:pStyle w:val="Heading3"/>
      </w:pPr>
      <w:r>
        <w:t xml:space="preserve">4.4. Use Phase (Scope 3 - Downstream)</w:t>
      </w:r>
    </w:p>
    <w:p>
      <w:pPr>
        <w:numPr>
          <w:ilvl w:val="0"/>
          <w:numId w:val="1010"/>
        </w:numPr>
        <w:pStyle w:val="Compact"/>
      </w:pPr>
      <w:r>
        <w:t xml:space="preserve">Total Energy Consumption: 45 kWh</w:t>
      </w:r>
    </w:p>
    <w:p>
      <w:pPr>
        <w:numPr>
          <w:ilvl w:val="0"/>
          <w:numId w:val="1010"/>
        </w:numPr>
        <w:pStyle w:val="Compact"/>
      </w:pPr>
      <w:r>
        <w:t xml:space="preserve">European Average Grid Mix EF: 0.25 kg CO2e/kWh</w:t>
      </w:r>
    </w:p>
    <w:p>
      <w:pPr>
        <w:numPr>
          <w:ilvl w:val="0"/>
          <w:numId w:val="1010"/>
        </w:numPr>
        <w:pStyle w:val="Compact"/>
      </w:pPr>
      <w:r>
        <w:rPr>
          <w:bCs/>
          <w:b/>
        </w:rPr>
        <w:t xml:space="preserve">Use Phase Emissions:</w:t>
      </w:r>
      <w:r>
        <w:t xml:space="preserve"> </w:t>
      </w:r>
      <w:r>
        <w:t xml:space="preserve">45 kWh * 0.25 kg CO2e/kWh =</w:t>
      </w:r>
      <w:r>
        <w:t xml:space="preserve"> </w:t>
      </w:r>
      <w:r>
        <w:rPr>
          <w:bCs/>
          <w:b/>
        </w:rPr>
        <w:t xml:space="preserve">11.250 kg CO2e</w:t>
      </w:r>
    </w:p>
    <w:bookmarkEnd w:id="33"/>
    <w:bookmarkStart w:id="34" w:name="end-of-life-scope-3---downstream"/>
    <w:p>
      <w:pPr>
        <w:pStyle w:val="Heading3"/>
      </w:pPr>
      <w:r>
        <w:t xml:space="preserve">4.5. End-of-Life (Scope 3 - Downstream)</w:t>
      </w:r>
    </w:p>
    <w:p>
      <w:pPr>
        <w:numPr>
          <w:ilvl w:val="0"/>
          <w:numId w:val="1011"/>
        </w:numPr>
        <w:pStyle w:val="Compact"/>
      </w:pPr>
      <w:r>
        <w:t xml:space="preserve">Material for Recycling: 0.51 kg</w:t>
      </w:r>
    </w:p>
    <w:p>
      <w:pPr>
        <w:numPr>
          <w:ilvl w:val="0"/>
          <w:numId w:val="1011"/>
        </w:numPr>
        <w:pStyle w:val="Compact"/>
      </w:pPr>
      <w:r>
        <w:t xml:space="preserve">Assumed Average Recycling Credit: -1.0 kg CO2e/kg</w:t>
      </w:r>
    </w:p>
    <w:p>
      <w:pPr>
        <w:numPr>
          <w:ilvl w:val="0"/>
          <w:numId w:val="1011"/>
        </w:numPr>
        <w:pStyle w:val="Compact"/>
      </w:pPr>
      <w:r>
        <w:t xml:space="preserve">Recycling Impact: 0.51 kg * -1.0 kg CO2e/kg =</w:t>
      </w:r>
      <w:r>
        <w:t xml:space="preserve"> </w:t>
      </w:r>
      <w:r>
        <w:rPr>
          <w:bCs/>
          <w:b/>
        </w:rPr>
        <w:t xml:space="preserve">-0.510 kg CO2e</w:t>
      </w:r>
    </w:p>
    <w:p>
      <w:pPr>
        <w:numPr>
          <w:ilvl w:val="0"/>
          <w:numId w:val="1011"/>
        </w:numPr>
        <w:pStyle w:val="Compact"/>
      </w:pPr>
      <w:r>
        <w:t xml:space="preserve">Material for Disposal: 0.34 kg</w:t>
      </w:r>
    </w:p>
    <w:p>
      <w:pPr>
        <w:numPr>
          <w:ilvl w:val="0"/>
          <w:numId w:val="1011"/>
        </w:numPr>
        <w:pStyle w:val="Compact"/>
      </w:pPr>
      <w:r>
        <w:t xml:space="preserve">Assumed Disposal EF (Landfill/Incineration): 0.1 kg CO2e/kg</w:t>
      </w:r>
    </w:p>
    <w:p>
      <w:pPr>
        <w:numPr>
          <w:ilvl w:val="0"/>
          <w:numId w:val="1011"/>
        </w:numPr>
        <w:pStyle w:val="Compact"/>
      </w:pPr>
      <w:r>
        <w:t xml:space="preserve">Disposal Impact: 0.34 kg * 0.1 kg CO2e/kg =</w:t>
      </w:r>
      <w:r>
        <w:t xml:space="preserve"> </w:t>
      </w:r>
      <w:r>
        <w:rPr>
          <w:bCs/>
          <w:b/>
        </w:rPr>
        <w:t xml:space="preserve">0.034 kg CO2e</w:t>
      </w:r>
    </w:p>
    <w:p>
      <w:pPr>
        <w:numPr>
          <w:ilvl w:val="0"/>
          <w:numId w:val="1011"/>
        </w:numPr>
        <w:pStyle w:val="Compact"/>
      </w:pPr>
      <w:r>
        <w:rPr>
          <w:bCs/>
          <w:b/>
        </w:rPr>
        <w:t xml:space="preserve">Total End-of-Life Emissions:</w:t>
      </w:r>
      <w:r>
        <w:t xml:space="preserve"> </w:t>
      </w:r>
      <w:r>
        <w:t xml:space="preserve">-0.510 kg CO2e + 0.034 kg CO2e =</w:t>
      </w:r>
      <w:r>
        <w:t xml:space="preserve"> </w:t>
      </w:r>
      <w:r>
        <w:rPr>
          <w:bCs/>
          <w:b/>
        </w:rPr>
        <w:t xml:space="preserve">-0.476 kg CO2e</w:t>
      </w:r>
    </w:p>
    <w:bookmarkEnd w:id="34"/>
    <w:bookmarkStart w:id="35" w:name="summary-of-emissions-by-scope-and-stage"/>
    <w:p>
      <w:pPr>
        <w:pStyle w:val="Heading3"/>
      </w:pPr>
      <w:r>
        <w:t xml:space="preserve">4.6. 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Production (BOM)</w:t>
            </w:r>
          </w:p>
        </w:tc>
        <w:tc>
          <w:tcPr/>
          <w:p>
            <w:pPr>
              <w:pStyle w:val="Compact"/>
              <w:jc w:val="left"/>
            </w:pPr>
            <w:r>
              <w:t xml:space="preserve">Scope 3 (Upstream)</w:t>
            </w:r>
          </w:p>
        </w:tc>
        <w:tc>
          <w:tcPr/>
          <w:p>
            <w:pPr>
              <w:pStyle w:val="Compact"/>
              <w:jc w:val="left"/>
            </w:pPr>
            <w:r>
              <w:t xml:space="preserve">2.555</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2.100</w:t>
            </w:r>
          </w:p>
        </w:tc>
      </w:tr>
      <w:tr>
        <w:tc>
          <w:tcPr/>
          <w:p>
            <w:pPr>
              <w:pStyle w:val="Compact"/>
              <w:jc w:val="left"/>
            </w:pPr>
            <w:r>
              <w:t xml:space="preserve">Transport &amp; Distribution (Primary)</w:t>
            </w:r>
          </w:p>
        </w:tc>
        <w:tc>
          <w:tcPr/>
          <w:p>
            <w:pPr>
              <w:pStyle w:val="Compact"/>
              <w:jc w:val="left"/>
            </w:pPr>
            <w:r>
              <w:t xml:space="preserve">Scope 3 (Upstream)</w:t>
            </w:r>
          </w:p>
        </w:tc>
        <w:tc>
          <w:tcPr/>
          <w:p>
            <w:pPr>
              <w:pStyle w:val="Compact"/>
              <w:jc w:val="left"/>
            </w:pPr>
            <w:r>
              <w:t xml:space="preserve">0.0255</w:t>
            </w:r>
          </w:p>
        </w:tc>
      </w:tr>
      <w:tr>
        <w:tc>
          <w:tcPr/>
          <w:p>
            <w:pPr>
              <w:pStyle w:val="Compact"/>
              <w:jc w:val="left"/>
            </w:pPr>
            <w:r>
              <w:t xml:space="preserve">Transport &amp; Distribution (Last-Mile)</w:t>
            </w:r>
          </w:p>
        </w:tc>
        <w:tc>
          <w:tcPr/>
          <w:p>
            <w:pPr>
              <w:pStyle w:val="Compact"/>
              <w:jc w:val="left"/>
            </w:pPr>
            <w:r>
              <w:t xml:space="preserve">Scope 3 (Downstream)</w:t>
            </w:r>
          </w:p>
        </w:tc>
        <w:tc>
          <w:tcPr/>
          <w:p>
            <w:pPr>
              <w:pStyle w:val="Compact"/>
              <w:jc w:val="left"/>
            </w:pPr>
            <w:r>
              <w:t xml:space="preserve">0.125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11.250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-0.476</w:t>
            </w:r>
          </w:p>
        </w:tc>
      </w:tr>
      <w:tr>
        <w:tc>
          <w:tcPr>
            <w:gridSpan w:val="2"/>
          </w:tcPr>
          <w:p>
            <w:pPr>
              <w:pStyle w:val="Compact"/>
              <w:jc w:val="right"/>
            </w:pPr>
            <w:r>
              <w:rPr>
                <w:bCs/>
                <w:b/>
              </w:rPr>
              <w:t xml:space="preserve">Total Product Carbon Footprint (Cradle-to-Grave):</w:t>
            </w:r>
          </w:p>
        </w:tc>
        <w:tc>
          <w:tcPr/>
          <w:p>
            <w:pPr>
              <w:pStyle w:val="Compact"/>
              <w:jc w:val="left"/>
            </w:pPr>
            <w:r>
              <w:rPr>
                <w:bCs/>
                <w:b/>
              </w:rPr>
              <w:t xml:space="preserve">15.5795 kg CO2e</w:t>
            </w:r>
          </w:p>
        </w:tc>
      </w:tr>
      <w:tr>
        <w:tc>
          <w:tcPr>
            <w:gridSpan w:val="2"/>
          </w:tcPr>
          <w:p>
            <w:pPr>
              <w:pStyle w:val="Compact"/>
              <w:jc w:val="right"/>
            </w:pPr>
            <w:r>
              <w:rPr>
                <w:bCs/>
                <w:b/>
              </w:rPr>
              <w:t xml:space="preserve">Total Factory-Gate PCF (Materials + Production):</w:t>
            </w:r>
          </w:p>
        </w:tc>
        <w:tc>
          <w:tcPr/>
          <w:p>
            <w:pPr>
              <w:pStyle w:val="Compact"/>
              <w:jc w:val="left"/>
            </w:pPr>
            <w:r>
              <w:rPr>
                <w:bCs/>
                <w:b/>
              </w:rPr>
              <w:t xml:space="preserve">4.655 kg CO2e</w:t>
            </w:r>
          </w:p>
        </w:tc>
      </w:tr>
      <w:tr>
        <w:tc>
          <w:tcPr>
            <w:gridSpan w:val="2"/>
          </w:tcPr>
          <w:p>
            <w:pPr>
              <w:pStyle w:val="Compact"/>
              <w:jc w:val="right"/>
            </w:pPr>
            <w:r>
              <w:rPr>
                <w:bCs/>
                <w:b/>
              </w:rPr>
              <w:t xml:space="preserve">Total Scope 1 Emissions:</w:t>
            </w:r>
          </w:p>
        </w:tc>
        <w:tc>
          <w:tcPr/>
          <w:p>
            <w:pPr>
              <w:pStyle w:val="Compact"/>
              <w:jc w:val="left"/>
            </w:pPr>
            <w:r>
              <w:t xml:space="preserve">0.000</w:t>
            </w:r>
          </w:p>
        </w:tc>
      </w:tr>
      <w:tr>
        <w:tc>
          <w:tcPr>
            <w:gridSpan w:val="2"/>
          </w:tcPr>
          <w:p>
            <w:pPr>
              <w:pStyle w:val="Compact"/>
              <w:jc w:val="right"/>
            </w:pPr>
            <w:r>
              <w:rPr>
                <w:bCs/>
                <w:b/>
              </w:rPr>
              <w:t xml:space="preserve">Total Scope 2 Emissions:</w:t>
            </w:r>
          </w:p>
        </w:tc>
        <w:tc>
          <w:tcPr/>
          <w:p>
            <w:pPr>
              <w:pStyle w:val="Compact"/>
              <w:jc w:val="left"/>
            </w:pPr>
            <w:r>
              <w:t xml:space="preserve">2.100</w:t>
            </w:r>
          </w:p>
        </w:tc>
      </w:tr>
      <w:tr>
        <w:tc>
          <w:tcPr>
            <w:gridSpan w:val="2"/>
          </w:tcPr>
          <w:p>
            <w:pPr>
              <w:pStyle w:val="Compact"/>
              <w:jc w:val="right"/>
            </w:pPr>
            <w:r>
              <w:rPr>
                <w:bCs/>
                <w:b/>
              </w:rPr>
              <w:t xml:space="preserve">Total Scope 3 Emissions:</w:t>
            </w:r>
          </w:p>
        </w:tc>
        <w:tc>
          <w:tcPr/>
          <w:p>
            <w:pPr>
              <w:pStyle w:val="Compact"/>
              <w:jc w:val="left"/>
            </w:pPr>
            <w:r>
              <w:t xml:space="preserve">13.4795</w:t>
            </w:r>
          </w:p>
        </w:tc>
      </w:tr>
    </w:tbl>
    <w:p>
      <w:pPr>
        <w:pStyle w:val="BodyText"/>
      </w:pPr>
      <w:r>
        <w:rPr>
          <w:bCs/>
          <w:b/>
        </w:rPr>
        <w:t xml:space="preserve">Scope 3 Coverage:</w:t>
      </w:r>
      <w:r>
        <w:t xml:space="preserve"> </w:t>
      </w:r>
      <w:r>
        <w:t xml:space="preserve">The detailed analysis of materials, transport, use phase, and end-of-life ensures comprehensive Scope 3 reporting, meeting the 2026 requirement of at least 95% coverage. Specifically, all relevant upstream and downstream categories as per GHG Protocol Product Standard are addressed.</w:t>
      </w:r>
    </w:p>
    <w:p>
      <w:pPr>
        <w:pStyle w:val="BodyText"/>
      </w:pPr>
      <w:r>
        <w:rPr>
          <w:bCs/>
          <w:b/>
        </w:rPr>
        <w:t xml:space="preserve">Land Sector and Removals (LSR) Standard:</w:t>
      </w:r>
      <w:r>
        <w:t xml:space="preserve"> </w:t>
      </w:r>
      <w:r>
        <w:t xml:space="preserve">While direct land use change emissions were not applicable for the immediate production processes of xnyrdwvvem, the embodied impacts within raw materials (e.g., paper/cardboard from forestry) have been considered within their respective emission factors. The active circular/take-back programs also align with principles of resource efficiency and reduced pressure on land for virgin material extraction, contributing to broader LSR objectives.</w:t>
      </w:r>
    </w:p>
    <w:p>
      <w:r>
        <w:pict>
          <v:rect style="width:0;height:1.5pt" o:hralign="center" o:hrstd="t" o:hr="t"/>
        </w:pict>
      </w:r>
    </w:p>
    <w:bookmarkEnd w:id="35"/>
    <w:bookmarkEnd w:id="36"/>
    <w:bookmarkStart w:id="41"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The analysis reveals the following key emission hotspots for xnyrdwvvem:</w:t>
      </w:r>
    </w:p>
    <w:p>
      <w:pPr>
        <w:numPr>
          <w:ilvl w:val="0"/>
          <w:numId w:val="1012"/>
        </w:numPr>
        <w:pStyle w:val="Compact"/>
      </w:pPr>
      <w:r>
        <w:rPr>
          <w:bCs/>
          <w:b/>
        </w:rPr>
        <w:t xml:space="preserve">Use Phase:</w:t>
      </w:r>
      <w:r>
        <w:t xml:space="preserve"> </w:t>
      </w:r>
      <w:r>
        <w:t xml:space="preserve">With 11.250 kg CO2e, the use phase is by far the largest contributor, accounting for approximately 72% of the total cradle-to-grave footprint. This is primarily driven by the product\'s energy consumption over its 3-year lifespan and the average European grid mix.</w:t>
      </w:r>
    </w:p>
    <w:p>
      <w:pPr>
        <w:numPr>
          <w:ilvl w:val="0"/>
          <w:numId w:val="1012"/>
        </w:numPr>
        <w:pStyle w:val="Compact"/>
      </w:pPr>
      <w:r>
        <w:rPr>
          <w:bCs/>
          <w:b/>
        </w:rPr>
        <w:t xml:space="preserve">Material Acquisition &amp; Production:</w:t>
      </w:r>
      <w:r>
        <w:t xml:space="preserve"> </w:t>
      </w:r>
      <w:r>
        <w:t xml:space="preserve">Constituting 2.555 kg CO2e, materials (especially PCB and ABS plastic) represent the second-largest impact. This highlights the importance of sustainable material choices and design for reduction.</w:t>
      </w:r>
    </w:p>
    <w:p>
      <w:pPr>
        <w:numPr>
          <w:ilvl w:val="0"/>
          <w:numId w:val="1012"/>
        </w:numPr>
        <w:pStyle w:val="Compact"/>
      </w:pPr>
      <w:r>
        <w:rPr>
          <w:bCs/>
          <w:b/>
        </w:rPr>
        <w:t xml:space="preserve">Production Phase (Purchased Electricity):</w:t>
      </w:r>
      <w:r>
        <w:t xml:space="preserve"> </w:t>
      </w:r>
      <w:r>
        <w:t xml:space="preserve">Although renewable energy is used, the remaining 70% of energy sourced from the China grid mix contributes 2.100 kg CO2e, making it a significant hotspot.</w:t>
      </w:r>
    </w:p>
    <w:p>
      <w:pPr>
        <w:numPr>
          <w:ilvl w:val="0"/>
          <w:numId w:val="1012"/>
        </w:numPr>
        <w:pStyle w:val="Compact"/>
      </w:pPr>
      <w:r>
        <w:rPr>
          <w:bCs/>
          <w:b/>
        </w:rPr>
        <w:t xml:space="preserve">Last-Mile Delivery:</w:t>
      </w:r>
      <w:r>
        <w:t xml:space="preserve"> </w:t>
      </w:r>
      <w:r>
        <w:t xml:space="preserve">While primary transport is relatively low, the allocated impact from last-mile delivery shows a notable contribution (0.125 kg CO2e), indicating efficiency improvements in final distribution could be beneficial.</w:t>
      </w:r>
    </w:p>
    <w:bookmarkEnd w:id="37"/>
    <w:bookmarkStart w:id="38" w:name="reliability-and-limitations"/>
    <w:p>
      <w:pPr>
        <w:pStyle w:val="Heading3"/>
      </w:pPr>
      <w:r>
        <w:t xml:space="preserve">5.2. Reliability and Limitations</w:t>
      </w:r>
    </w:p>
    <w:p>
      <w:pPr>
        <w:pStyle w:val="FirstParagraph"/>
      </w:pPr>
      <w:r>
        <w:t xml:space="preserve">The reliability of this PCF analysis is based on:</w:t>
      </w:r>
    </w:p>
    <w:p>
      <w:pPr>
        <w:numPr>
          <w:ilvl w:val="0"/>
          <w:numId w:val="1013"/>
        </w:numPr>
        <w:pStyle w:val="Compact"/>
      </w:pPr>
      <w:r>
        <w:rPr>
          <w:bCs/>
          <w:b/>
        </w:rPr>
        <w:t xml:space="preserve">Adherence to GHG Protocol:</w:t>
      </w:r>
      <w:r>
        <w:t xml:space="preserve"> </w:t>
      </w:r>
      <w:r>
        <w:t xml:space="preserve">Strict application of the GHG Protocol Product Standard ensures a robust and recognized methodology.</w:t>
      </w:r>
    </w:p>
    <w:p>
      <w:pPr>
        <w:numPr>
          <w:ilvl w:val="0"/>
          <w:numId w:val="1013"/>
        </w:numPr>
        <w:pStyle w:val="Compact"/>
      </w:pPr>
      <w:r>
        <w:rPr>
          <w:bCs/>
          <w:b/>
        </w:rPr>
        <w:t xml:space="preserve">Detailed BOM Data:</w:t>
      </w:r>
      <w:r>
        <w:t xml:space="preserve"> </w:t>
      </w:r>
      <w:r>
        <w:t xml:space="preserve">Utilization of specific material quantities and emission factors from `epmtkgox` enhances accuracy for the material phase.</w:t>
      </w:r>
    </w:p>
    <w:p>
      <w:pPr>
        <w:numPr>
          <w:ilvl w:val="0"/>
          <w:numId w:val="1013"/>
        </w:numPr>
        <w:pStyle w:val="Compact"/>
      </w:pPr>
      <w:r>
        <w:rPr>
          <w:bCs/>
          <w:b/>
        </w:rPr>
        <w:t xml:space="preserve">Assumed Emission Factors:</w:t>
      </w:r>
      <w:r>
        <w:t xml:space="preserve"> </w:t>
      </w:r>
      <w:r>
        <w:t xml:space="preserve">Secondary emission factors from industry-standard databases (e.g., Ecoinvent/DEFRA aligned data) have been used where primary data was unavailable. These are generally reliable but represent averages.</w:t>
      </w:r>
    </w:p>
    <w:p>
      <w:pPr>
        <w:numPr>
          <w:ilvl w:val="0"/>
          <w:numId w:val="1013"/>
        </w:numPr>
        <w:pStyle w:val="Compact"/>
      </w:pPr>
      <w:r>
        <w:rPr>
          <w:bCs/>
          <w:b/>
        </w:rPr>
        <w:t xml:space="preserve">Assumptions for Generic Parameters:</w:t>
      </w:r>
      <w:r>
        <w:t xml:space="preserve"> </w:t>
      </w:r>
      <w:r>
        <w:t xml:space="preserve">For parameters like \'Select Mode\', \'Delivery Type\', `xlnhqdhxxn`, `esxksmjlgn`, `ovwilunzss`, `djdzovpmgf`, `gvutgjvksr`, `keyujvihod`, and `pylerdmgqp`, plausible expert assumptions were made to enable the calculation. Further primary data collection for these specific values would increase the precision of the analysis.</w:t>
      </w:r>
    </w:p>
    <w:p>
      <w:pPr>
        <w:numPr>
          <w:ilvl w:val="0"/>
          <w:numId w:val="1013"/>
        </w:numPr>
        <w:pStyle w:val="Compact"/>
      </w:pPr>
      <w:r>
        <w:rPr>
          <w:bCs/>
          <w:b/>
        </w:rPr>
        <w:t xml:space="preserve">System Boundary:</w:t>
      </w:r>
      <w:r>
        <w:t xml:space="preserve"> </w:t>
      </w:r>
      <w:r>
        <w:t xml:space="preserve">While the primary boundary is factory-gate, the extended analysis to cradle-to-grave ensures a holistic view but relies on certain assumptions for downstream stages.</w:t>
      </w:r>
    </w:p>
    <w:bookmarkEnd w:id="38"/>
    <w:bookmarkStart w:id="40" w:name="key-insights-and-recommendations"/>
    <w:p>
      <w:pPr>
        <w:pStyle w:val="Heading3"/>
      </w:pPr>
      <w:r>
        <w:t xml:space="preserve">5.3. Key Insights and Recommendations</w:t>
      </w:r>
    </w:p>
    <w:p>
      <w:pPr>
        <w:numPr>
          <w:ilvl w:val="0"/>
          <w:numId w:val="1014"/>
        </w:numPr>
        <w:pStyle w:val="Compact"/>
      </w:pPr>
      <w:r>
        <w:rPr>
          <w:bCs/>
          <w:b/>
        </w:rPr>
        <w:t xml:space="preserve">Energy Efficiency in Use:</w:t>
      </w:r>
      <w:r>
        <w:t xml:space="preserve"> </w:t>
      </w:r>
      <w:r>
        <w:t xml:space="preserve">The dominant impact from the use phase strongly suggests that efforts to reduce the product\'s energy consumption during its lifespan should be prioritized. This could involve design changes for lower power draw or providing users with energy-saving tips.</w:t>
      </w:r>
    </w:p>
    <w:p>
      <w:pPr>
        <w:numPr>
          <w:ilvl w:val="0"/>
          <w:numId w:val="1014"/>
        </w:numPr>
        <w:pStyle w:val="Compact"/>
      </w:pPr>
      <w:r>
        <w:rPr>
          <w:bCs/>
          <w:b/>
        </w:rPr>
        <w:t xml:space="preserve">Renewable Energy Sourcing:</w:t>
      </w:r>
      <w:r>
        <w:t xml:space="preserve"> </w:t>
      </w:r>
      <w:r>
        <w:t xml:space="preserve">Increasing renewable energy usage beyond the current 30% in the production facility would significantly reduce Scope 2 emissions. Exploring options for off-site renewable energy procurement or on-site generation is recommended.</w:t>
      </w:r>
    </w:p>
    <w:p>
      <w:pPr>
        <w:numPr>
          <w:ilvl w:val="0"/>
          <w:numId w:val="1014"/>
        </w:numPr>
        <w:pStyle w:val="Compact"/>
      </w:pPr>
      <w:r>
        <w:rPr>
          <w:bCs/>
          <w:b/>
        </w:rPr>
        <w:t xml:space="preserve">Sustainable Material Selection:</w:t>
      </w:r>
      <w:r>
        <w:t xml:space="preserve"> </w:t>
      </w:r>
      <w:r>
        <w:t xml:space="preserve">Investigating alternative materials with lower embodied carbon, especially for high-impact components like PCBs and plastics, could reduce upstream Scope 3 emissions.</w:t>
      </w:r>
    </w:p>
    <w:p>
      <w:pPr>
        <w:numPr>
          <w:ilvl w:val="0"/>
          <w:numId w:val="1014"/>
        </w:numPr>
        <w:pStyle w:val="Compact"/>
      </w:pPr>
      <w:r>
        <w:rPr>
          <w:bCs/>
          <w:b/>
        </w:rPr>
        <w:t xml:space="preserve">Logistics Optimization:</w:t>
      </w:r>
      <w:r>
        <w:t xml:space="preserve"> </w:t>
      </w:r>
      <w:r>
        <w:t xml:space="preserve">Further optimization of last-mile delivery routes and exploring more efficient delivery methods could reduce transport emissions.</w:t>
      </w:r>
    </w:p>
    <w:p>
      <w:pPr>
        <w:numPr>
          <w:ilvl w:val="0"/>
          <w:numId w:val="1014"/>
        </w:numPr>
        <w:pStyle w:val="Compact"/>
      </w:pPr>
      <w:r>
        <w:rPr>
          <w:bCs/>
          <w:b/>
        </w:rPr>
        <w:t xml:space="preserve">Circular Economy Integration:</w:t>
      </w:r>
      <w:r>
        <w:t xml:space="preserve"> </w:t>
      </w:r>
      <w:r>
        <w:t xml:space="preserve">The existing circular/take-back programs are positive. Expanding these programs and improving the recyclability of product components to achieve a higher percentage (above 60%) would further enhance end-of-life benefits.</w:t>
      </w:r>
    </w:p>
    <w:p>
      <w:pPr>
        <w:pStyle w:val="FirstParagraph"/>
      </w:pPr>
      <w:r>
        <w:t xml:space="preserve">Confidential - Internal Use Only | Page</w:t>
      </w:r>
      <w:r>
        <w:t xml:space="preserve"> </w:t>
      </w:r>
      <w:bookmarkStart w:id="39" w:name="pageNumber"/>
      <w:r>
        <w:t xml:space="preserve">1</w:t>
      </w:r>
      <w:bookmarkEnd w:id="39"/>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xnyrdwvvem</dc:title>
  <dc:creator/>
  <dc:description>Detailed Product Carbon Footprint (PCF) analysis report for xnyrdwvvem, performed by riodiypkzj, Senior Sustainability Consultant for klynmmsmgd, adhering to GHG Protocol standards and 2026 LSR updates.</dc:description>
  <cp:keywords/>
  <dcterms:created xsi:type="dcterms:W3CDTF">2026-07-15T05:10:07Z</dcterms:created>
  <dcterms:modified xsi:type="dcterms:W3CDTF">2026-07-15T05:10:07Z</dcterms:modified>
</cp:coreProperties>
</file>

<file path=docProps/custom.xml><?xml version="1.0" encoding="utf-8"?>
<Properties xmlns="http://schemas.openxmlformats.org/officeDocument/2006/custom-properties" xmlns:vt="http://schemas.openxmlformats.org/officeDocument/2006/docPropsVTypes"/>
</file>