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xntyflnwfs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xntyflnwfs**</w:t>
      </w:r>
    </w:p>
    <w:p>
      <w:pPr>
        <w:pStyle w:val="BodyText"/>
      </w:pPr>
      <w:r>
        <w:t xml:space="preserve">**Company: ksqilrjnjp**</w:t>
      </w:r>
    </w:p>
    <w:p>
      <w:pPr>
        <w:pStyle w:val="BodyText"/>
      </w:pPr>
      <w:r>
        <w:t xml:space="preserve">**Senior Sustainability Consultant: rvsepesgqq**</w:t>
      </w:r>
    </w:p>
    <w:p>
      <w:pPr>
        <w:pStyle w:val="BodyText"/>
      </w:pPr>
      <w:r>
        <w:t xml:space="preserve">**Protocol Data (Accounting Standard): GHG Protocol**</w:t>
      </w:r>
    </w:p>
    <w:p>
      <w:pPr>
        <w:pStyle w:val="BodyText"/>
      </w:pPr>
      <w:r>
        <w:t xml:space="preserve">Disclaimer: This report is generated based on available data, industry standards, and specified parameters. While every effort has been made to ensure accuracy, the actual environmental impact may vary based on real-world conditions and further granular data.</w:t>
      </w:r>
    </w:p>
    <w:bookmarkEnd w:id="20"/>
    <w:p>
      <w:pPr>
        <w:pStyle w:val="BodyText"/>
      </w:pPr>
      <w:r>
        <w:t xml:space="preserve">Generated Date: May 27, 2026</w:t>
      </w:r>
    </w:p>
    <w:p>
      <w:pPr>
        <w:pStyle w:val="BodyText"/>
      </w:pPr>
      <w:r>
        <w:t xml:space="preserve">Report for: ksqilrjnjp</w:t>
      </w:r>
    </w:p>
    <w:bookmarkStart w:id="21" w:name="executive-summary"/>
    <w:p>
      <w:pPr>
        <w:pStyle w:val="Heading1"/>
      </w:pPr>
      <w:r>
        <w:t xml:space="preserve">Executive Summary</w:t>
      </w:r>
    </w:p>
    <w:p>
      <w:pPr>
        <w:pStyle w:val="FirstParagraph"/>
      </w:pPr>
      <w:r>
        <w:t xml:space="preserve">This Product Carbon Footprint (PCF) analysis, conducted by rvsepesgqq, Senior Sustainability Consultant, for ksqilrjnjp, quantifies the greenhouse gas (GHG) emissions associated with the product xntyflnwfs. Following the GHG Protocol standards, this report covers emissions from material acquisition, manufacturing, transport, use, and end-of-life phases, providing a comprehensive "cradle-to-gate plus use and end-of-life" assessment. Key insights highlight emission hotspots and areas for potential reduction, aligning with a Europe-focused supply chain and China as the final production country. The analysis incorporates detailed Bill of Materials (BOM) data, custom energy usage, and specific end-of-life scenarios to offer a high-detail assessment.</w:t>
      </w:r>
    </w:p>
    <w:p>
      <w:r>
        <w:pict>
          <v:rect style="width:0;height:1.5pt" o:hralign="center" o:hrstd="t" o:hr="t"/>
        </w:pict>
      </w:r>
    </w:p>
    <w:bookmarkEnd w:id="21"/>
    <w:bookmarkStart w:id="24" w:name="introduction-and-methodology"/>
    <w:p>
      <w:pPr>
        <w:pStyle w:val="Heading1"/>
      </w:pPr>
      <w:r>
        <w:t xml:space="preserve">1. Introduction and Methodology</w:t>
      </w:r>
    </w:p>
    <w:p>
      <w:pPr>
        <w:pStyle w:val="FirstParagraph"/>
      </w:pPr>
      <w:r>
        <w:t xml:space="preserve">This Product Carbon Footprint (PCF) report details the lifecycle GHG emissions of the product xntyflnwfs manufactured by ksqilrjnjp. The assessment strictly adheres to the</w:t>
      </w:r>
      <w:r>
        <w:t xml:space="preserve"> </w:t>
      </w:r>
      <w:r>
        <w:t xml:space="preserve">GHG Protocol</w:t>
      </w:r>
      <w:r>
        <w:t xml:space="preserve"> </w:t>
      </w:r>
      <w:r>
        <w:t xml:space="preserve">Product Standard, ensuring a robust and internationally recognized framework for emission quantification.</w:t>
      </w:r>
    </w:p>
    <w:bookmarkStart w:id="22" w:name="methodology-followed"/>
    <w:p>
      <w:pPr>
        <w:pStyle w:val="Heading2"/>
      </w:pPr>
      <w:r>
        <w:t xml:space="preserve">1.1. Methodology Followed</w:t>
      </w:r>
    </w:p>
    <w:p>
      <w:pPr>
        <w:pStyle w:val="FirstParagraph"/>
      </w:pPr>
      <w:r>
        <w:t xml:space="preserve">The PCF analysis was conducted through the following five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In accordance with 2026 requirements, particular emphasis has been placed on achieving at least 95% coverage for Scope 3 emissions and applying the Land Sector and Removals (LSR) Standard where applicable.</w:t>
      </w:r>
    </w:p>
    <w:bookmarkEnd w:id="22"/>
    <w:bookmarkStart w:id="23" w:name="protocol-and-standards"/>
    <w:p>
      <w:pPr>
        <w:pStyle w:val="Heading2"/>
      </w:pPr>
      <w:r>
        <w:t xml:space="preserve">1.2. Protocol and Standards</w:t>
      </w:r>
    </w:p>
    <w:p>
      <w:pPr>
        <w:numPr>
          <w:ilvl w:val="0"/>
          <w:numId w:val="1002"/>
        </w:numPr>
        <w:pStyle w:val="Compact"/>
      </w:pPr>
      <w:r>
        <w:t xml:space="preserve">**Accounting Standard:** GHG Protocol Product Standard</w:t>
      </w:r>
    </w:p>
    <w:p>
      <w:pPr>
        <w:numPr>
          <w:ilvl w:val="0"/>
          <w:numId w:val="1002"/>
        </w:numPr>
        <w:pStyle w:val="Compact"/>
      </w:pPr>
      <w:r>
        <w:t xml:space="preserve">**Scope Categorization:** Emissions are categorized into Scope 1 (direct), Scope 2 (purchased energy), and Scope 3 (value chain) in accordance with the GHG Protocol Corporate Standard.</w:t>
      </w:r>
    </w:p>
    <w:p>
      <w:pPr>
        <w:numPr>
          <w:ilvl w:val="0"/>
          <w:numId w:val="1002"/>
        </w:numPr>
        <w:pStyle w:val="Compact"/>
      </w:pPr>
      <w:r>
        <w:t xml:space="preserve">**LSR Update:** The 2026 Land Sector and Removals (LSR) Standard has been considered. For this product, direct significant land-use change or carbon removals from raw material sourcing are not explicitly identified or quantifiable with the given BOM data, thus no direct LSR impacts are reported. Indirect land-use changes embedded in upstream material emission factors are captured within Scope 3.</w:t>
      </w:r>
    </w:p>
    <w:p>
      <w:pPr>
        <w:numPr>
          <w:ilvl w:val="0"/>
          <w:numId w:val="1002"/>
        </w:numPr>
        <w:pStyle w:val="Compact"/>
      </w:pPr>
      <w:r>
        <w:t xml:space="preserve">**Scope 3 Compliance:** Extensive efforts have been made to ensure at least 95% coverage for Scope 3 emissions, including upstream material production, transportation, use-phase energy, and end-of-life treatment.</w:t>
      </w:r>
    </w:p>
    <w:p>
      <w:r>
        <w:pict>
          <v:rect style="width:0;height:1.5pt" o:hralign="center" o:hrstd="t" o:hr="t"/>
        </w:pict>
      </w:r>
    </w:p>
    <w:bookmarkEnd w:id="23"/>
    <w:bookmarkEnd w:id="24"/>
    <w:bookmarkStart w:id="29" w:name="scope-definition"/>
    <w:p>
      <w:pPr>
        <w:pStyle w:val="Heading1"/>
      </w:pPr>
      <w:r>
        <w:t xml:space="preserve">2. Scope Definition</w:t>
      </w:r>
    </w:p>
    <w:bookmarkStart w:id="25" w:name="functional-unit"/>
    <w:p>
      <w:pPr>
        <w:pStyle w:val="Heading2"/>
      </w:pPr>
      <w:r>
        <w:t xml:space="preserve">2.1. Functional Unit</w:t>
      </w:r>
    </w:p>
    <w:p>
      <w:pPr>
        <w:pStyle w:val="FirstParagraph"/>
      </w:pPr>
      <w:r>
        <w:t xml:space="preserve">The functional unit for this analysis is defined as **1.0 unit** of xntyflnwfs, providing its intended function over its lifespan.</w:t>
      </w:r>
    </w:p>
    <w:bookmarkEnd w:id="25"/>
    <w:bookmarkStart w:id="26" w:name="system-boundary"/>
    <w:p>
      <w:pPr>
        <w:pStyle w:val="Heading2"/>
      </w:pPr>
      <w:r>
        <w:t xml:space="preserve">2.2. System Boundary</w:t>
      </w:r>
    </w:p>
    <w:p>
      <w:pPr>
        <w:pStyle w:val="FirstParagraph"/>
      </w:pPr>
      <w:r>
        <w:t xml:space="preserve">The system boundary for this PCF is defined as **"factory_gate"**, extended to include the use phase and end-of-life treatment of the product. This means a "cradle-to-grave" approach is employed, covering all stages from raw material extraction to disposal or recycling of the product.</w:t>
      </w:r>
    </w:p>
    <w:p>
      <w:pPr>
        <w:numPr>
          <w:ilvl w:val="0"/>
          <w:numId w:val="1003"/>
        </w:numPr>
        <w:pStyle w:val="Compact"/>
      </w:pPr>
      <w:r>
        <w:t xml:space="preserve">**Upstream (Cradle-to-Gate of Manufacturing):**</w:t>
      </w:r>
    </w:p>
    <w:p>
      <w:pPr>
        <w:numPr>
          <w:ilvl w:val="1"/>
          <w:numId w:val="1004"/>
        </w:numPr>
        <w:pStyle w:val="Compact"/>
      </w:pPr>
      <w:r>
        <w:t xml:space="preserve">Raw material extraction and processing (Scope 3)</w:t>
      </w:r>
    </w:p>
    <w:p>
      <w:pPr>
        <w:numPr>
          <w:ilvl w:val="1"/>
          <w:numId w:val="1004"/>
        </w:numPr>
        <w:pStyle w:val="Compact"/>
      </w:pPr>
      <w:r>
        <w:t xml:space="preserve">Transport of raw materials to manufacturing facility (Scope 3)</w:t>
      </w:r>
    </w:p>
    <w:p>
      <w:pPr>
        <w:numPr>
          <w:ilvl w:val="0"/>
          <w:numId w:val="1003"/>
        </w:numPr>
        <w:pStyle w:val="Compact"/>
      </w:pPr>
      <w:r>
        <w:t xml:space="preserve">**Core (Manufacturing at Factory Gate):**</w:t>
      </w:r>
    </w:p>
    <w:p>
      <w:pPr>
        <w:numPr>
          <w:ilvl w:val="1"/>
          <w:numId w:val="1005"/>
        </w:numPr>
        <w:pStyle w:val="Compact"/>
      </w:pPr>
      <w:r>
        <w:t xml:space="preserve">Direct emissions from owned or controlled sources (Scope 1)</w:t>
      </w:r>
    </w:p>
    <w:p>
      <w:pPr>
        <w:numPr>
          <w:ilvl w:val="1"/>
          <w:numId w:val="1005"/>
        </w:numPr>
        <w:pStyle w:val="Compact"/>
      </w:pPr>
      <w:r>
        <w:t xml:space="preserve">Emissions from purchased electricity (Scope 2)</w:t>
      </w:r>
    </w:p>
    <w:p>
      <w:pPr>
        <w:numPr>
          <w:ilvl w:val="0"/>
          <w:numId w:val="1003"/>
        </w:numPr>
        <w:pStyle w:val="Compact"/>
      </w:pPr>
      <w:r>
        <w:t xml:space="preserve">**Downstream (Beyond Factory Gate):**</w:t>
      </w:r>
    </w:p>
    <w:p>
      <w:pPr>
        <w:numPr>
          <w:ilvl w:val="1"/>
          <w:numId w:val="1006"/>
        </w:numPr>
        <w:pStyle w:val="Compact"/>
      </w:pPr>
      <w:r>
        <w:t xml:space="preserve">Transport of finished product to customer (Scope 3)</w:t>
      </w:r>
    </w:p>
    <w:p>
      <w:pPr>
        <w:numPr>
          <w:ilvl w:val="1"/>
          <w:numId w:val="1006"/>
        </w:numPr>
        <w:pStyle w:val="Compact"/>
      </w:pPr>
      <w:r>
        <w:t xml:space="preserve">Use phase energy consumption (Scope 3)</w:t>
      </w:r>
    </w:p>
    <w:p>
      <w:pPr>
        <w:numPr>
          <w:ilvl w:val="1"/>
          <w:numId w:val="1006"/>
        </w:numPr>
        <w:pStyle w:val="Compact"/>
      </w:pPr>
      <w:r>
        <w:t xml:space="preserve">End-of-Life treatment (disposal, recycling, recovery) (Scope 3)</w:t>
      </w:r>
    </w:p>
    <w:bookmarkEnd w:id="26"/>
    <w:bookmarkStart w:id="27" w:name="geographic-scope"/>
    <w:p>
      <w:pPr>
        <w:pStyle w:val="Heading2"/>
      </w:pPr>
      <w:r>
        <w:t xml:space="preserve">2.3. Geographic Scope</w:t>
      </w:r>
    </w:p>
    <w:p>
      <w:pPr>
        <w:numPr>
          <w:ilvl w:val="0"/>
          <w:numId w:val="1007"/>
        </w:numPr>
        <w:pStyle w:val="Compact"/>
      </w:pPr>
      <w:r>
        <w:t xml:space="preserve">**Final Production Country:** China</w:t>
      </w:r>
    </w:p>
    <w:p>
      <w:pPr>
        <w:numPr>
          <w:ilvl w:val="0"/>
          <w:numId w:val="1007"/>
        </w:numPr>
        <w:pStyle w:val="Compact"/>
      </w:pPr>
      <w:r>
        <w:t xml:space="preserve">**Supply Chain Focus:** Europe Focused</w:t>
      </w:r>
    </w:p>
    <w:bookmarkEnd w:id="27"/>
    <w:bookmarkStart w:id="28" w:name="allocation"/>
    <w:p>
      <w:pPr>
        <w:pStyle w:val="Heading2"/>
      </w:pPr>
      <w:r>
        <w:t xml:space="preserve">2.4. Allocation</w:t>
      </w:r>
    </w:p>
    <w:p>
      <w:pPr>
        <w:pStyle w:val="FirstParagraph"/>
      </w:pPr>
      <w:r>
        <w:t xml:space="preserve">For a single product PCF, direct allocation of emissions to the functional unit is straightforward. Where multi-functional processes are encountered (e.g., co-production, waste treatment), allocation is applied based on established GHG Protocol guidance, typically mass or economic allocation, although specific co-products were not indicated for this product. Avoided burden approach is used for recycling at end-of-life.</w:t>
      </w:r>
    </w:p>
    <w:p>
      <w:r>
        <w:pict>
          <v:rect style="width:0;height:1.5pt" o:hralign="center" o:hrstd="t" o:hr="t"/>
        </w:pict>
      </w:r>
    </w:p>
    <w:bookmarkEnd w:id="28"/>
    <w:bookmarkEnd w:id="29"/>
    <w:bookmarkStart w:id="35" w:name="Xacef6bd3626538f0da87b2c66e70108dca27974"/>
    <w:p>
      <w:pPr>
        <w:pStyle w:val="Heading1"/>
      </w:pPr>
      <w:r>
        <w:t xml:space="preserve">3. Life Cycle Inventory (LCI) and Data Collection</w:t>
      </w:r>
    </w:p>
    <w:p>
      <w:pPr>
        <w:pStyle w:val="FirstParagraph"/>
      </w:pPr>
      <w:r>
        <w:t xml:space="preserve">This section details the inputs and outputs across the product\'s lifecycle stages and the data collection methods. The provided detailed Bill of Materials (BOM) was critical for high-accuracy material impact calculation.</w:t>
      </w:r>
    </w:p>
    <w:p>
      <w:pPr>
        <w:pStyle w:val="BodyText"/>
      </w:pPr>
      <w:r>
        <w:t xml:space="preserve">*Note: As specific data for \'nthvmixg\', \'luxqfzoqoh\', \'nwdopxskzl\', \'szpitfwppm\', \'sqddndymih\', \'ghnoljxhjg\', \'uizkeghkmj\', and \'tequoyeqnk\' were provided as placeholders, representative example values based on typical industry data and the given format have been assumed for calculations, clearly indicating these assumptions.*</w:t>
      </w:r>
    </w:p>
    <w:bookmarkStart w:id="30" w:name="Xbfcf4d19aff30a5dfe5b8c2e56ebb2aab2ced3b"/>
    <w:p>
      <w:pPr>
        <w:pStyle w:val="Heading2"/>
      </w:pPr>
      <w:r>
        <w:t xml:space="preserve">3.1. Detailed Bill of Materials (BOM): nthvmixg (Example Data)</w:t>
      </w:r>
    </w:p>
    <w:p>
      <w:pPr>
        <w:pStyle w:val="FirstParagraph"/>
      </w:pPr>
      <w:r>
        <w:t xml:space="preserve">The following example Bill of Materials (BOM) for xntyflnwfs is used to calculate the material acquisition and pre-processing impacts, as per the specified format. The \'Total Carbon\' values are directly used for material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t xml:space="preserve">Total product weight for calculation purposes (excluding packaging): 0.5 + 0.3 + 0.1 (assumed for PCB) + 0.1 + 0.2 = 1.2 kg.</w:t>
      </w:r>
    </w:p>
    <w:p>
      <w:pPr>
        <w:pStyle w:val="BodyText"/>
      </w:pPr>
      <w:r>
        <w:t xml:space="preserve">Total product weight (including packaging): 1.3 kg.</w:t>
      </w:r>
    </w:p>
    <w:p>
      <w:pPr>
        <w:pStyle w:val="BodyText"/>
      </w:pPr>
      <w:r>
        <w:t xml:space="preserve">Total Material Acquisition (Upstream) Emissions: 10.20 kgCO2e (Sum of \'Total Carbon\' from BOM).</w:t>
      </w:r>
    </w:p>
    <w:bookmarkEnd w:id="30"/>
    <w:bookmarkStart w:id="31" w:name="manufacturing-phase-data"/>
    <w:p>
      <w:pPr>
        <w:pStyle w:val="Heading2"/>
      </w:pPr>
      <w:r>
        <w:t xml:space="preserve">3.2. Manufacturing Phase Data</w:t>
      </w:r>
    </w:p>
    <w:p>
      <w:pPr>
        <w:numPr>
          <w:ilvl w:val="0"/>
          <w:numId w:val="1008"/>
        </w:numPr>
        <w:pStyle w:val="Compact"/>
      </w:pPr>
      <w:r>
        <w:t xml:space="preserve">**Energy Intensity (kWh/unit):** szpitfwppm = 15 kWh/unit (Assumed)</w:t>
      </w:r>
    </w:p>
    <w:p>
      <w:pPr>
        <w:numPr>
          <w:ilvl w:val="0"/>
          <w:numId w:val="1008"/>
        </w:numPr>
        <w:pStyle w:val="Compact"/>
      </w:pPr>
      <w:r>
        <w:t xml:space="preserve">**Renewable Energy Usage (nwdopxskzl):** 70% (Assumed)</w:t>
      </w:r>
    </w:p>
    <w:p>
      <w:pPr>
        <w:numPr>
          <w:ilvl w:val="0"/>
          <w:numId w:val="1008"/>
        </w:numPr>
        <w:pStyle w:val="Compact"/>
      </w:pPr>
      <w:r>
        <w:t xml:space="preserve">**Non-Renewable Energy Usage:** 15 kWh/unit * (1 - 0.70) = 4.5 kWh/unit</w:t>
      </w:r>
    </w:p>
    <w:p>
      <w:pPr>
        <w:numPr>
          <w:ilvl w:val="0"/>
          <w:numId w:val="1008"/>
        </w:numPr>
        <w:pStyle w:val="Compact"/>
      </w:pPr>
      <w:r>
        <w:t xml:space="preserve">**Renewable Energy Usage (accounted as zero direct emissions at point of use):** 15 kWh/unit * 0.70 = 10.5 kWh/unit</w:t>
      </w:r>
    </w:p>
    <w:p>
      <w:pPr>
        <w:numPr>
          <w:ilvl w:val="0"/>
          <w:numId w:val="1008"/>
        </w:numPr>
        <w:pStyle w:val="Compact"/>
      </w:pPr>
      <w:r>
        <w:t xml:space="preserve">**Electricity Grid Emission Factor (China):** 0.6205 kgCO2e/kWh (2023 National Average)</w:t>
      </w:r>
    </w:p>
    <w:bookmarkEnd w:id="31"/>
    <w:bookmarkStart w:id="32" w:name="transport-phase-data"/>
    <w:p>
      <w:pPr>
        <w:pStyle w:val="Heading2"/>
      </w:pPr>
      <w:r>
        <w:t xml:space="preserve">3.3. Transport Phase Data</w:t>
      </w:r>
    </w:p>
    <w:p>
      <w:pPr>
        <w:numPr>
          <w:ilvl w:val="0"/>
          <w:numId w:val="1009"/>
        </w:numPr>
        <w:pStyle w:val="Compact"/>
      </w:pPr>
      <w:r>
        <w:t xml:space="preserve">**Product Weight:** 1.3 kg (including packaging)</w:t>
      </w:r>
    </w:p>
    <w:p>
      <w:pPr>
        <w:numPr>
          <w:ilvl w:val="0"/>
          <w:numId w:val="1009"/>
        </w:numPr>
        <w:pStyle w:val="Compact"/>
      </w:pPr>
      <w:r>
        <w:t xml:space="preserve">**Main Transport Mode (Select Mode):** Road Freight (Heavy Duty Truck) (Assumed)</w:t>
      </w:r>
    </w:p>
    <w:p>
      <w:pPr>
        <w:numPr>
          <w:ilvl w:val="0"/>
          <w:numId w:val="1009"/>
        </w:numPr>
        <w:pStyle w:val="Compact"/>
      </w:pPr>
      <w:r>
        <w:t xml:space="preserve">**Main Transport Distance (luxqfzoqoh):** 1000 km (Assumed)</w:t>
      </w:r>
    </w:p>
    <w:p>
      <w:pPr>
        <w:numPr>
          <w:ilvl w:val="0"/>
          <w:numId w:val="1009"/>
        </w:numPr>
        <w:pStyle w:val="Compact"/>
      </w:pPr>
      <w:r>
        <w:t xml:space="preserve">**Road Freight Emission Factor:** 0.105 kgCO2e/tonne-km (Representative for road freight, derived from 2kg package over 1000km)</w:t>
      </w:r>
    </w:p>
    <w:p>
      <w:pPr>
        <w:numPr>
          <w:ilvl w:val="0"/>
          <w:numId w:val="1009"/>
        </w:numPr>
        <w:pStyle w:val="Compact"/>
      </w:pPr>
      <w:r>
        <w:t xml:space="preserve">**Last-Mile Delivery Channel (Delivery Type):** Delivery Van (Assumed)</w:t>
      </w:r>
    </w:p>
    <w:p>
      <w:pPr>
        <w:numPr>
          <w:ilvl w:val="0"/>
          <w:numId w:val="1009"/>
        </w:numPr>
        <w:pStyle w:val="Compact"/>
      </w:pPr>
      <w:r>
        <w:t xml:space="preserve">**Last-Mile Delivery Distance:** 50 km (Assumed for local delivery)</w:t>
      </w:r>
    </w:p>
    <w:p>
      <w:pPr>
        <w:numPr>
          <w:ilvl w:val="0"/>
          <w:numId w:val="1009"/>
        </w:numPr>
        <w:pStyle w:val="Compact"/>
      </w:pPr>
      <w:r>
        <w:t xml:space="preserve">**Last-Mile Delivery Emission Factor:** 0.3 kgCO2e/package (Representative for conventional delivery van)</w:t>
      </w:r>
    </w:p>
    <w:bookmarkEnd w:id="32"/>
    <w:bookmarkStart w:id="33" w:name="use-phase-data"/>
    <w:p>
      <w:pPr>
        <w:pStyle w:val="Heading2"/>
      </w:pPr>
      <w:r>
        <w:t xml:space="preserve">3.4. Use Phase Data</w:t>
      </w:r>
    </w:p>
    <w:p>
      <w:pPr>
        <w:numPr>
          <w:ilvl w:val="0"/>
          <w:numId w:val="1010"/>
        </w:numPr>
        <w:pStyle w:val="Compact"/>
      </w:pPr>
      <w:r>
        <w:t xml:space="preserve">**Product Lifespan (sqddndymih):** 5 years (Assumed)</w:t>
      </w:r>
    </w:p>
    <w:p>
      <w:pPr>
        <w:numPr>
          <w:ilvl w:val="0"/>
          <w:numId w:val="1010"/>
        </w:numPr>
        <w:pStyle w:val="Compact"/>
      </w:pPr>
      <w:r>
        <w:t xml:space="preserve">**Energy Consumption in Use (ghnoljxhjg):** 20 kWh/year (Assumed)</w:t>
      </w:r>
    </w:p>
    <w:p>
      <w:pPr>
        <w:numPr>
          <w:ilvl w:val="0"/>
          <w:numId w:val="1010"/>
        </w:numPr>
        <w:pStyle w:val="Compact"/>
      </w:pPr>
      <w:r>
        <w:t xml:space="preserve">**Total Energy Consumption in Use:** 5 years * 20 kWh/year = 100 kWh</w:t>
      </w:r>
    </w:p>
    <w:p>
      <w:pPr>
        <w:numPr>
          <w:ilvl w:val="0"/>
          <w:numId w:val="1010"/>
        </w:numPr>
        <w:pStyle w:val="Compact"/>
      </w:pPr>
      <w:r>
        <w:t xml:space="preserve">**Electricity Grid Emission Factor (Europe Focused):** 0.181 kgCO2e/kWh (2024 European Average)</w:t>
      </w:r>
    </w:p>
    <w:bookmarkEnd w:id="33"/>
    <w:bookmarkStart w:id="34" w:name="end-of-life-eol-data"/>
    <w:p>
      <w:pPr>
        <w:pStyle w:val="Heading2"/>
      </w:pPr>
      <w:r>
        <w:t xml:space="preserve">3.5. End-of-Life (EoL) Data</w:t>
      </w:r>
    </w:p>
    <w:p>
      <w:pPr>
        <w:numPr>
          <w:ilvl w:val="0"/>
          <w:numId w:val="1011"/>
        </w:numPr>
        <w:pStyle w:val="Compact"/>
      </w:pPr>
      <w:r>
        <w:t xml:space="preserve">**Total Product Mass at EoL:** 1.2 kg (excluding packaging, as packaging likely separate stream)</w:t>
      </w:r>
    </w:p>
    <w:p>
      <w:pPr>
        <w:numPr>
          <w:ilvl w:val="0"/>
          <w:numId w:val="1011"/>
        </w:numPr>
        <w:pStyle w:val="Compact"/>
      </w:pPr>
      <w:r>
        <w:t xml:space="preserve">**Recyclability Percentage (uizkeghkmj):** 60% (Assumed)</w:t>
      </w:r>
    </w:p>
    <w:p>
      <w:pPr>
        <w:numPr>
          <w:ilvl w:val="0"/>
          <w:numId w:val="1011"/>
        </w:numPr>
        <w:pStyle w:val="Compact"/>
      </w:pPr>
      <w:r>
        <w:t xml:space="preserve">**Mass for Recycling:** 1.2 kg * 0.60 = 0.72 kg</w:t>
      </w:r>
    </w:p>
    <w:p>
      <w:pPr>
        <w:numPr>
          <w:ilvl w:val="0"/>
          <w:numId w:val="1011"/>
        </w:numPr>
        <w:pStyle w:val="Compact"/>
      </w:pPr>
      <w:r>
        <w:t xml:space="preserve">**Mass for Disposal (Landfill/Incineration):** 1.2 kg * (1 - 0.60) = 0.48 kg</w:t>
      </w:r>
    </w:p>
    <w:p>
      <w:pPr>
        <w:numPr>
          <w:ilvl w:val="0"/>
          <w:numId w:val="1011"/>
        </w:numPr>
        <w:pStyle w:val="Compact"/>
      </w:pPr>
      <w:r>
        <w:t xml:space="preserve">**Circular/Take-back Programs (tequoyeqnk):** Established (This supports the feasibility of the assumed recyclability rate).</w:t>
      </w:r>
    </w:p>
    <w:p>
      <w:pPr>
        <w:numPr>
          <w:ilvl w:val="0"/>
          <w:numId w:val="1011"/>
        </w:numPr>
        <w:pStyle w:val="Compact"/>
      </w:pPr>
      <w:r>
        <w:t xml:space="preserve">**Landfill Emission Factor (generic):** 0.15 kgCO2e/kg (Assumed for mixed waste)</w:t>
      </w:r>
    </w:p>
    <w:p>
      <w:pPr>
        <w:numPr>
          <w:ilvl w:val="0"/>
          <w:numId w:val="1011"/>
        </w:numPr>
        <w:pStyle w:val="Compact"/>
      </w:pPr>
      <w:r>
        <w:t xml:space="preserve">**Recycling Avoided Emission Factor (generic credit):** -0.5 kgCO2e/kg (Assumed average credit for recycled materials)</w:t>
      </w:r>
    </w:p>
    <w:p>
      <w:r>
        <w:pict>
          <v:rect style="width:0;height:1.5pt" o:hralign="center" o:hrstd="t" o:hr="t"/>
        </w:pict>
      </w:r>
    </w:p>
    <w:bookmarkEnd w:id="34"/>
    <w:bookmarkEnd w:id="35"/>
    <w:bookmarkStart w:id="46" w:name="emission-calculation"/>
    <w:p>
      <w:pPr>
        <w:pStyle w:val="Heading1"/>
      </w:pPr>
      <w:r>
        <w:t xml:space="preserve">4. Emission Calculation</w:t>
      </w:r>
    </w:p>
    <w:p>
      <w:pPr>
        <w:pStyle w:val="FirstParagraph"/>
      </w:pPr>
      <w:r>
        <w:t xml:space="preserve">This section presents the calculated GHG emissions (in kgCO2e) for each lifecycle stage, categorized according to the GHG Protocol Scopes.</w:t>
      </w:r>
    </w:p>
    <w:bookmarkStart w:id="38" w:name="upstream-emissions-scope-3"/>
    <w:p>
      <w:pPr>
        <w:pStyle w:val="Heading2"/>
      </w:pPr>
      <w:r>
        <w:t xml:space="preserve">4.1. Upstream Emissions (Scope 3)</w:t>
      </w:r>
    </w:p>
    <w:bookmarkStart w:id="36" w:name="material-acquisition-pre-processing"/>
    <w:p>
      <w:pPr>
        <w:pStyle w:val="Heading3"/>
      </w:pPr>
      <w:r>
        <w:t xml:space="preserve">4.1.1. Material Acquisition &amp; Pre-processing</w:t>
      </w:r>
    </w:p>
    <w:p>
      <w:pPr>
        <w:pStyle w:val="FirstParagraph"/>
      </w:pPr>
      <w:r>
        <w:t xml:space="preserve">Based on the provided example BOM data, the total emissions from material acquisition and pre-processing are:</w:t>
      </w:r>
    </w:p>
    <w:p>
      <w:pPr>
        <w:pStyle w:val="BodyText"/>
      </w:pPr>
      <w:r>
        <w:t xml:space="preserve">**Total Material Emissions (Scope 3, Category 1 - Purchased Goods and Services):** 10.20 kgCO2e.</w:t>
      </w:r>
    </w:p>
    <w:bookmarkEnd w:id="36"/>
    <w:bookmarkStart w:id="37" w:name="upstream-transportation"/>
    <w:p>
      <w:pPr>
        <w:pStyle w:val="Heading3"/>
      </w:pPr>
      <w:r>
        <w:t xml:space="preserve">4.1.2. Upstream Transportation</w:t>
      </w:r>
    </w:p>
    <w:p>
      <w:pPr>
        <w:pStyle w:val="FirstParagraph"/>
      </w:pPr>
      <w:r>
        <w:t xml:space="preserve">Emissions from transporting raw materials to the manufacturing facility are typically embedded in the material emission factors. Given the `factory_gate` system boundary for manufacturing, direct upstream transport for raw materials is implicitly included in the \'Total Carbon\' for BOM items.</w:t>
      </w:r>
    </w:p>
    <w:p>
      <w:pPr>
        <w:pStyle w:val="BodyText"/>
      </w:pPr>
      <w:r>
        <w:t xml:space="preserve">**Upstream Transport Emissions (Scope 3):** Included within Material Acquisition, estimated at 0.00 kgCO2e explicitly for this calculation (as BOM provides \'Total Carbon\' directly).</w:t>
      </w:r>
    </w:p>
    <w:bookmarkEnd w:id="37"/>
    <w:bookmarkEnd w:id="38"/>
    <w:bookmarkStart w:id="41" w:name="core-emissions-scope-1-2---manufacturing"/>
    <w:p>
      <w:pPr>
        <w:pStyle w:val="Heading2"/>
      </w:pPr>
      <w:r>
        <w:t xml:space="preserve">4.2. Core Emissions (Scope 1 &amp; 2 - Manufacturing)</w:t>
      </w:r>
    </w:p>
    <w:bookmarkStart w:id="39" w:name="purchased-electricity-scope-2"/>
    <w:p>
      <w:pPr>
        <w:pStyle w:val="Heading3"/>
      </w:pPr>
      <w:r>
        <w:t xml:space="preserve">4.2.1. Purchased Electricity (Scope 2)</w:t>
      </w:r>
    </w:p>
    <w:p>
      <w:pPr>
        <w:numPr>
          <w:ilvl w:val="0"/>
          <w:numId w:val="1012"/>
        </w:numPr>
        <w:pStyle w:val="Compact"/>
      </w:pPr>
      <w:r>
        <w:t xml:space="preserve">Non-Renewable Energy Consumed: 4.5 kWh/unit</w:t>
      </w:r>
    </w:p>
    <w:p>
      <w:pPr>
        <w:numPr>
          <w:ilvl w:val="0"/>
          <w:numId w:val="1012"/>
        </w:numPr>
        <w:pStyle w:val="Compact"/>
      </w:pPr>
      <w:r>
        <w:t xml:space="preserve">China Grid Emission Factor: 0.6205 kgCO2e/kWh</w:t>
      </w:r>
    </w:p>
    <w:p>
      <w:pPr>
        <w:numPr>
          <w:ilvl w:val="0"/>
          <w:numId w:val="1012"/>
        </w:numPr>
        <w:pStyle w:val="Compact"/>
      </w:pPr>
      <w:r>
        <w:t xml:space="preserve">Renewable Energy Used: 10.5 kWh/unit (assumed zero direct emissions at point of use due to renewable attribute)</w:t>
      </w:r>
    </w:p>
    <w:p>
      <w:pPr>
        <w:pStyle w:val="FirstParagraph"/>
      </w:pPr>
      <w:r>
        <w:t xml:space="preserve">Emissions from purchased electricity = 4.5 kWh/unit * 0.6205 kgCO2e/kWh = **2.79 kgCO2e**.</w:t>
      </w:r>
    </w:p>
    <w:p>
      <w:pPr>
        <w:pStyle w:val="BodyText"/>
      </w:pPr>
      <w:r>
        <w:t xml:space="preserve">**Manufacturing Electricity Emissions (Scope 2):** 2.79 kgCO2e.</w:t>
      </w:r>
    </w:p>
    <w:bookmarkEnd w:id="39"/>
    <w:bookmarkStart w:id="40" w:name="direct-manufacturing-emissions-scope-1"/>
    <w:p>
      <w:pPr>
        <w:pStyle w:val="Heading3"/>
      </w:pPr>
      <w:r>
        <w:t xml:space="preserve">4.2.2. Direct Manufacturing Emissions (Scope 1)</w:t>
      </w:r>
    </w:p>
    <w:p>
      <w:pPr>
        <w:pStyle w:val="FirstParagraph"/>
      </w:pPr>
      <w:r>
        <w:t xml:space="preserve">The provided parameters (`Energy Intensity (kWh/unit)`) primarily relate to electricity consumption. Direct fuel combustion at the factory (Scope 1) is assumed to be negligible or accounted for within the energy intensity if it\'s part of the electricity generation mix (which is then Scope 2). Without specific direct fuel consumption data, Scope 1 emissions are considered minimal for this product\'s manufacturing process.</w:t>
      </w:r>
    </w:p>
    <w:p>
      <w:pPr>
        <w:pStyle w:val="BodyText"/>
      </w:pPr>
      <w:r>
        <w:t xml:space="preserve">**Direct Manufacturing Emissions (Scope 1):** 0.00 kgCO2e (Assumed negligible/zero).</w:t>
      </w:r>
    </w:p>
    <w:bookmarkEnd w:id="40"/>
    <w:bookmarkEnd w:id="41"/>
    <w:bookmarkStart w:id="45" w:name="downstream-emissions-scope-3"/>
    <w:p>
      <w:pPr>
        <w:pStyle w:val="Heading2"/>
      </w:pPr>
      <w:r>
        <w:t xml:space="preserve">4.3. Downstream Emissions (Scope 3)</w:t>
      </w:r>
    </w:p>
    <w:bookmarkStart w:id="42" w:name="X7131da04de39080e68100861ddc999dcb63c00b"/>
    <w:p>
      <w:pPr>
        <w:pStyle w:val="Heading3"/>
      </w:pPr>
      <w:r>
        <w:t xml:space="preserve">4.3.1. Downstream Transportation (Scope 3, Category 4 - Transportation and Distribution)</w:t>
      </w:r>
    </w:p>
    <w:p>
      <w:pPr>
        <w:numPr>
          <w:ilvl w:val="0"/>
          <w:numId w:val="1013"/>
        </w:numPr>
        <w:pStyle w:val="Compact"/>
      </w:pPr>
      <w:r>
        <w:t xml:space="preserve">Product Weight: 1.3 kg = 0.0013 tonnes</w:t>
      </w:r>
    </w:p>
    <w:p>
      <w:pPr>
        <w:numPr>
          <w:ilvl w:val="0"/>
          <w:numId w:val="1013"/>
        </w:numPr>
        <w:pStyle w:val="Compact"/>
      </w:pPr>
      <w:r>
        <w:t xml:space="preserve">Main Transport Distance: 1000 km (Assumed for luxqfzoqoh)</w:t>
      </w:r>
    </w:p>
    <w:p>
      <w:pPr>
        <w:numPr>
          <w:ilvl w:val="0"/>
          <w:numId w:val="1013"/>
        </w:numPr>
        <w:pStyle w:val="Compact"/>
      </w:pPr>
      <w:r>
        <w:t xml:space="preserve">Main Transport Emission Factor: 0.105 kgCO2e/tonne-km</w:t>
      </w:r>
    </w:p>
    <w:p>
      <w:pPr>
        <w:numPr>
          <w:ilvl w:val="0"/>
          <w:numId w:val="1013"/>
        </w:numPr>
        <w:pStyle w:val="Compact"/>
      </w:pPr>
      <w:r>
        <w:t xml:space="preserve">Last-Mile Delivery Emission Factor: 0.3 kgCO2e/package</w:t>
      </w:r>
    </w:p>
    <w:p>
      <w:pPr>
        <w:pStyle w:val="FirstParagraph"/>
      </w:pPr>
      <w:r>
        <w:t xml:space="preserve">Main Transport Emissions = 0.0013 tonnes * 1000 km * 0.105 kgCO2e/tonne-km = **0.1365 kgCO2e**.</w:t>
      </w:r>
    </w:p>
    <w:p>
      <w:pPr>
        <w:pStyle w:val="BodyText"/>
      </w:pPr>
      <w:r>
        <w:t xml:space="preserve">Last-Mile Delivery Emissions = 0.3 kgCO2e/package (assuming 1 package per unit) = **0.30 kgCO2e**.</w:t>
      </w:r>
    </w:p>
    <w:p>
      <w:pPr>
        <w:pStyle w:val="BodyText"/>
      </w:pPr>
      <w:r>
        <w:t xml:space="preserve">**Total Downstream Transport Emissions (Scope 3):** 0.1365 + 0.30 = **0.4365 kgCO2e**.</w:t>
      </w:r>
    </w:p>
    <w:bookmarkEnd w:id="42"/>
    <w:bookmarkStart w:id="43" w:name="X6421c938dd7e5cb731724b1ba3c67e4f5efecf9"/>
    <w:p>
      <w:pPr>
        <w:pStyle w:val="Heading3"/>
      </w:pPr>
      <w:r>
        <w:t xml:space="preserve">4.3.2. Use Phase Emissions (Scope 3, Category 11 - Use of Sold Products)</w:t>
      </w:r>
    </w:p>
    <w:p>
      <w:pPr>
        <w:numPr>
          <w:ilvl w:val="0"/>
          <w:numId w:val="1014"/>
        </w:numPr>
        <w:pStyle w:val="Compact"/>
      </w:pPr>
      <w:r>
        <w:t xml:space="preserve">Total Energy Consumption in Use: 100 kWh</w:t>
      </w:r>
    </w:p>
    <w:p>
      <w:pPr>
        <w:numPr>
          <w:ilvl w:val="0"/>
          <w:numId w:val="1014"/>
        </w:numPr>
        <w:pStyle w:val="Compact"/>
      </w:pPr>
      <w:r>
        <w:t xml:space="preserve">European Grid Emission Factor: 0.181 kgCO2e/kWh</w:t>
      </w:r>
    </w:p>
    <w:p>
      <w:pPr>
        <w:pStyle w:val="FirstParagraph"/>
      </w:pPr>
      <w:r>
        <w:t xml:space="preserve">Use Phase Emissions = 100 kWh * 0.181 kgCO2e/kWh = **18.10 kgCO2e**.</w:t>
      </w:r>
    </w:p>
    <w:p>
      <w:pPr>
        <w:pStyle w:val="BodyText"/>
      </w:pPr>
      <w:r>
        <w:t xml:space="preserve">**Use Phase Emissions (Scope 3):** 18.10 kgCO2e.</w:t>
      </w:r>
    </w:p>
    <w:bookmarkEnd w:id="43"/>
    <w:bookmarkStart w:id="44" w:name="Xe2e13a8f65c17e1ac66b0d841462be7a19c1c25"/>
    <w:p>
      <w:pPr>
        <w:pStyle w:val="Heading3"/>
      </w:pPr>
      <w:r>
        <w:t xml:space="preserve">4.3.3. End-of-Life (EoL) Emissions (Scope 3, Category 12 - End-of-Life Treatment of Sold Products)</w:t>
      </w:r>
    </w:p>
    <w:p>
      <w:pPr>
        <w:numPr>
          <w:ilvl w:val="0"/>
          <w:numId w:val="1015"/>
        </w:numPr>
        <w:pStyle w:val="Compact"/>
      </w:pPr>
      <w:r>
        <w:t xml:space="preserve">Mass for Disposal: 0.48 kg</w:t>
      </w:r>
    </w:p>
    <w:p>
      <w:pPr>
        <w:numPr>
          <w:ilvl w:val="0"/>
          <w:numId w:val="1015"/>
        </w:numPr>
        <w:pStyle w:val="Compact"/>
      </w:pPr>
      <w:r>
        <w:t xml:space="preserve">Landfill Emission Factor: 0.15 kgCO2e/kg</w:t>
      </w:r>
    </w:p>
    <w:p>
      <w:pPr>
        <w:numPr>
          <w:ilvl w:val="0"/>
          <w:numId w:val="1015"/>
        </w:numPr>
        <w:pStyle w:val="Compact"/>
      </w:pPr>
      <w:r>
        <w:t xml:space="preserve">Mass for Recycling: 0.72 kg</w:t>
      </w:r>
    </w:p>
    <w:p>
      <w:pPr>
        <w:numPr>
          <w:ilvl w:val="0"/>
          <w:numId w:val="1015"/>
        </w:numPr>
        <w:pStyle w:val="Compact"/>
      </w:pPr>
      <w:r>
        <w:t xml:space="preserve">Recycling Avoided Emission Factor: -0.5 kgCO2e/kg</w:t>
      </w:r>
    </w:p>
    <w:p>
      <w:pPr>
        <w:pStyle w:val="FirstParagraph"/>
      </w:pPr>
      <w:r>
        <w:t xml:space="preserve">Disposal Emissions = 0.48 kg * 0.15 kgCO2e/kg = 0.072 kgCO2e.</w:t>
      </w:r>
    </w:p>
    <w:p>
      <w:pPr>
        <w:pStyle w:val="BodyText"/>
      </w:pPr>
      <w:r>
        <w:t xml:space="preserve">Recycling Credits = 0.72 kg * (-0.5 kgCO2e/kg) = -0.36 kgCO2e.</w:t>
      </w:r>
    </w:p>
    <w:p>
      <w:pPr>
        <w:pStyle w:val="BodyText"/>
      </w:pPr>
      <w:r>
        <w:t xml:space="preserve">**Total End-of-Life Emissions (Scope 3):** 0.072 + (-0.36) = **-0.288 kgCO2e**.</w:t>
      </w:r>
    </w:p>
    <w:p>
      <w:pPr>
        <w:pStyle w:val="BodyText"/>
      </w:pPr>
      <w:r>
        <w:t xml:space="preserve">*A negative value indicates a net avoided emission (carbon credit) due to recycling compared to virgin material production.*</w:t>
      </w:r>
    </w:p>
    <w:p>
      <w:r>
        <w:pict>
          <v:rect style="width:0;height:1.5pt" o:hralign="center" o:hrstd="t" o:hr="t"/>
        </w:pict>
      </w:r>
    </w:p>
    <w:bookmarkEnd w:id="44"/>
    <w:bookmarkEnd w:id="45"/>
    <w:bookmarkEnd w:id="46"/>
    <w:bookmarkStart w:id="49" w:name="summary-of-product-carbon-footprint"/>
    <w:p>
      <w:pPr>
        <w:pStyle w:val="Heading1"/>
      </w:pPr>
      <w:r>
        <w:t xml:space="preserve">5. Summary of Product Carbon Footprint</w:t>
      </w:r>
    </w:p>
    <w:bookmarkStart w:id="47" w:name="total-pcf-by-scope"/>
    <w:p>
      <w:pPr>
        <w:pStyle w:val="Heading2"/>
      </w:pPr>
      <w:r>
        <w:t xml:space="preserve">5.1. Total PCF by Scope</w:t>
      </w:r>
    </w:p>
    <w:p>
      <w:pPr>
        <w:pStyle w:val="FirstParagraph"/>
      </w:pPr>
      <w:r>
        <w:t xml:space="preserve">The total Product Carbon Footprint for xntyflnwfs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Coverage</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0.00</w:t>
            </w:r>
          </w:p>
        </w:tc>
        <w:tc>
          <w:tcPr/>
          <w:p>
            <w:pPr>
              <w:pStyle w:val="Compact"/>
              <w:jc w:val="left"/>
            </w:pPr>
            <w:r>
              <w:t xml:space="preserve">&lt;1%</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2.79</w:t>
            </w:r>
          </w:p>
        </w:tc>
        <w:tc>
          <w:tcPr/>
          <w:p>
            <w:pPr>
              <w:pStyle w:val="Compact"/>
              <w:jc w:val="left"/>
            </w:pPr>
            <w:r>
              <w:t xml:space="preserve">9%</w:t>
            </w:r>
          </w:p>
        </w:tc>
      </w:tr>
      <w:tr>
        <w:tc>
          <w:tcPr>
            <w:vMerge w:val="restart"/>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10.20</w:t>
            </w:r>
          </w:p>
        </w:tc>
        <w:tc>
          <w:tcPr/>
          <w:p>
            <w:pPr>
              <w:pStyle w:val="Compact"/>
              <w:jc w:val="left"/>
            </w:pPr>
            <w:r>
              <w:t xml:space="preserve">33%</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0.00 (included in materials)</w:t>
            </w:r>
          </w:p>
        </w:tc>
        <w:tc>
          <w:tcPr/>
          <w:p>
            <w:pPr>
              <w:pStyle w:val="Compact"/>
              <w:jc w:val="left"/>
            </w:pPr>
            <w:r>
              <w:t xml:space="preserve">0% (explicitly)</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0.44</w:t>
            </w:r>
          </w:p>
        </w:tc>
        <w:tc>
          <w:tcPr/>
          <w:p>
            <w:pPr>
              <w:pStyle w:val="Compact"/>
              <w:jc w:val="left"/>
            </w:pPr>
            <w:r>
              <w:t xml:space="preserve">1%</w:t>
            </w:r>
          </w:p>
        </w:tc>
      </w:tr>
      <w:tr>
        <w:tc>
          <w:tcPr>
            <w:gridSpan w:val="1"/>
            <w:vMerge w:val="continue"/>
          </w:tcPr>
          <w:p>
            <w:pPr/>
          </w:p>
        </w:tc>
        <w:tc>
          <w:tcPr/>
          <w:p>
            <w:pPr>
              <w:pStyle w:val="Compact"/>
              <w:jc w:val="left"/>
            </w:pPr>
            <w:r>
              <w:t xml:space="preserve">Use Phase of Sold Products</w:t>
            </w:r>
          </w:p>
        </w:tc>
        <w:tc>
          <w:tcPr/>
          <w:p>
            <w:pPr>
              <w:pStyle w:val="Compact"/>
              <w:jc w:val="left"/>
            </w:pPr>
            <w:r>
              <w:t xml:space="preserve">18.10</w:t>
            </w:r>
          </w:p>
        </w:tc>
        <w:tc>
          <w:tcPr/>
          <w:p>
            <w:pPr>
              <w:pStyle w:val="Compact"/>
              <w:jc w:val="left"/>
            </w:pPr>
            <w:r>
              <w:t xml:space="preserve">58%</w:t>
            </w:r>
          </w:p>
        </w:tc>
      </w:tr>
      <w:tr>
        <w:tc>
          <w:tcPr/>
          <w:p>
            <w:pPr>
              <w:pStyle w:val="Compact"/>
              <w:jc w:val="left"/>
            </w:pPr>
            <w:r>
              <w:t xml:space="preserve">Scope 3 (Net)</w:t>
            </w:r>
          </w:p>
        </w:tc>
        <w:tc>
          <w:tcPr/>
          <w:p>
            <w:pPr>
              <w:pStyle w:val="Compact"/>
              <w:jc w:val="left"/>
            </w:pPr>
            <w:r>
              <w:t xml:space="preserve">End-of-Life Treatment of Sold Products</w:t>
            </w:r>
          </w:p>
        </w:tc>
        <w:tc>
          <w:tcPr/>
          <w:p>
            <w:pPr>
              <w:pStyle w:val="Compact"/>
              <w:jc w:val="left"/>
            </w:pPr>
            <w:r>
              <w:t xml:space="preserve">-0.29</w:t>
            </w:r>
          </w:p>
        </w:tc>
        <w:tc>
          <w:tcPr/>
          <w:p>
            <w:pPr>
              <w:pStyle w:val="Compact"/>
              <w:jc w:val="left"/>
            </w:pPr>
            <w:r>
              <w:t xml:space="preserve">-1% (net credit)</w:t>
            </w:r>
          </w:p>
        </w:tc>
      </w:tr>
      <w:tr>
        <w:tc>
          <w:tcPr>
            <w:gridSpan w:val="2"/>
          </w:tcPr>
          <w:p>
            <w:pPr>
              <w:pStyle w:val="Compact"/>
              <w:jc w:val="left"/>
            </w:pPr>
            <w:r>
              <w:t xml:space="preserve">**Total Product Carbon Footprint**</w:t>
            </w:r>
          </w:p>
        </w:tc>
        <w:tc>
          <w:tcPr/>
          <w:p>
            <w:pPr>
              <w:pStyle w:val="Compact"/>
              <w:jc w:val="left"/>
            </w:pPr>
            <w:r>
              <w:t xml:space="preserve">**31.24**</w:t>
            </w:r>
          </w:p>
        </w:tc>
        <w:tc>
          <w:tcPr/>
          <w:p>
            <w:pPr>
              <w:pStyle w:val="Compact"/>
              <w:jc w:val="left"/>
            </w:pPr>
            <w:r>
              <w:t xml:space="preserve">**100%**</w:t>
            </w:r>
          </w:p>
        </w:tc>
      </w:tr>
    </w:tbl>
    <w:p>
      <w:pPr>
        <w:pStyle w:val="BodyText"/>
      </w:pPr>
      <w:r>
        <w:t xml:space="preserve">*Percentages are based on the absolute value of emissions, and a negative value for EoL is a credit.*</w:t>
      </w:r>
    </w:p>
    <w:p>
      <w:pPr>
        <w:pStyle w:val="BodyText"/>
      </w:pPr>
      <w:r>
        <w:t xml:space="preserve">**Total Product Carbon Footprint for xntyflnwfs: 31.24 kgCO2e per unit.**</w:t>
      </w:r>
    </w:p>
    <w:p>
      <w:pPr>
        <w:pStyle w:val="BodyText"/>
      </w:pPr>
      <w:r>
        <w:t xml:space="preserve">**Scope 3 Coverage:** The sum of absolute Scope 3 emissions is 10.20 + 0.44 + 18.10 + |-0.29| = 29.03 kgCO2e. Total emissions excluding Scope 1 are 31.24 kgCO2e. Thus, Scope 3 coverage is (29.03 / 31.24) * 100% = 92.93%. This falls slightly below the targeted 95% due to placeholder data and simplified assumptions for certain elements (e.g., specific upstream transport for each BOM item and precise last-mile allocation). In a real-world scenario, more granular data collection would be required to reach the 95% threshold.</w:t>
      </w:r>
    </w:p>
    <w:bookmarkEnd w:id="47"/>
    <w:bookmarkStart w:id="48" w:name="emission-hotspots-and-reliability"/>
    <w:p>
      <w:pPr>
        <w:pStyle w:val="Heading2"/>
      </w:pPr>
      <w:r>
        <w:t xml:space="preserve">5.2. Emission Hotspots and Reliability</w:t>
      </w:r>
    </w:p>
    <w:p>
      <w:pPr>
        <w:pStyle w:val="FirstParagraph"/>
      </w:pPr>
      <w:r>
        <w:t xml:space="preserve">The primary emission hotspots for xntyflnwfs are identified as:</w:t>
      </w:r>
    </w:p>
    <w:p>
      <w:pPr>
        <w:numPr>
          <w:ilvl w:val="0"/>
          <w:numId w:val="1016"/>
        </w:numPr>
        <w:pStyle w:val="Compact"/>
      </w:pPr>
      <w:r>
        <w:t xml:space="preserve">**Use Phase (58%):** The energy consumption during the product\'s lifespan is the largest contributor to its carbon footprint. This highlights the importance of energy efficiency for the end-user and the decarbonization of electricity grids in the regions where the product is used.</w:t>
      </w:r>
    </w:p>
    <w:p>
      <w:pPr>
        <w:numPr>
          <w:ilvl w:val="0"/>
          <w:numId w:val="1016"/>
        </w:numPr>
        <w:pStyle w:val="Compact"/>
      </w:pPr>
      <w:r>
        <w:t xml:space="preserve">**Material Acquisition (33%):** The production of raw materials, particularly aluminum and the lithium-ion battery in the example BOM, contributes significantly. Optimizing material selection, increasing recycled content, and engaging with suppliers on their decarbonization efforts are crucial here.</w:t>
      </w:r>
    </w:p>
    <w:p>
      <w:pPr>
        <w:numPr>
          <w:ilvl w:val="0"/>
          <w:numId w:val="1016"/>
        </w:numPr>
        <w:pStyle w:val="Compact"/>
      </w:pPr>
      <w:r>
        <w:t xml:space="preserve">**Manufacturing (Scope 2, 9%):** Despite 70% renewable energy usage, the remaining grid electricity in China still represents a notable portion. Further increasing renewable energy procurement or investing in on-site renewables will reduce this impact.</w:t>
      </w:r>
    </w:p>
    <w:p>
      <w:pPr>
        <w:numPr>
          <w:ilvl w:val="0"/>
          <w:numId w:val="1016"/>
        </w:numPr>
        <w:pStyle w:val="Compact"/>
      </w:pPr>
      <w:r>
        <w:t xml:space="preserve">**Downstream Transport (1%):** While relatively small, optimizing logistics, shifting to lower-emission transport modes, and consolidating shipments can further reduce this.</w:t>
      </w:r>
    </w:p>
    <w:p>
      <w:pPr>
        <w:numPr>
          <w:ilvl w:val="0"/>
          <w:numId w:val="1016"/>
        </w:numPr>
        <w:pStyle w:val="Compact"/>
      </w:pPr>
      <w:r>
        <w:t xml:space="preserve">**End-of-Life (Net Credit):** The assumed 60% recyclability, supported by established circular programs, provides a net carbon credit, demonstrating the positive impact of circular economy principles. Enhancing recyclability and recovery rates can further maximize these benefits.</w:t>
      </w:r>
    </w:p>
    <w:p>
      <w:pPr>
        <w:pStyle w:val="FirstParagraph"/>
      </w:pPr>
      <w:r>
        <w:t xml:space="preserve">The reliability of this report is considered moderate due to the use of assumed placeholder data for key parameters and generic emission factors. For a higher accuracy assessment, primary data collection for all actual values (BOM exact values, specific transport distances and modes, precise energy consumption, and regional grid mixes) would be required. However, the methodology aligns with GHG Protocol, providing a robust framework for comparative analysis and identifying strategic intervention points.</w:t>
      </w:r>
    </w:p>
    <w:p>
      <w:r>
        <w:pict>
          <v:rect style="width:0;height:1.5pt" o:hralign="center" o:hrstd="t" o:hr="t"/>
        </w:pict>
      </w:r>
    </w:p>
    <w:bookmarkEnd w:id="48"/>
    <w:bookmarkEnd w:id="49"/>
    <w:bookmarkStart w:id="50" w:name="recommendations"/>
    <w:p>
      <w:pPr>
        <w:pStyle w:val="Heading1"/>
      </w:pPr>
      <w:r>
        <w:t xml:space="preserve">6. Recommendations</w:t>
      </w:r>
    </w:p>
    <w:p>
      <w:pPr>
        <w:pStyle w:val="FirstParagraph"/>
      </w:pPr>
      <w:r>
        <w:t xml:space="preserve">Based on this PCF analysis, the following recommendations are provided to ksqilrjnjp to reduce the carbon footprint of xntyflnwfs:</w:t>
      </w:r>
    </w:p>
    <w:p>
      <w:pPr>
        <w:numPr>
          <w:ilvl w:val="0"/>
          <w:numId w:val="1017"/>
        </w:numPr>
        <w:pStyle w:val="Compact"/>
      </w:pPr>
      <w:r>
        <w:t xml:space="preserve">**Focus on Use Phase Decarbonization:** Invest in research and development to improve the energy efficiency of xntyflnwfs during its operational life. Provide clear information to end-users about sustainable usage and the benefits of sourcing renewable energy for product operation.</w:t>
      </w:r>
    </w:p>
    <w:p>
      <w:pPr>
        <w:numPr>
          <w:ilvl w:val="0"/>
          <w:numId w:val="1017"/>
        </w:numPr>
        <w:pStyle w:val="Compact"/>
      </w:pPr>
      <w:r>
        <w:t xml:space="preserve">**Optimize Material Sourcing:** Explore alternative materials with lower embedded carbon or increase the percentage of recycled content in components like the aluminum casing and plastic enclosure. Collaborate with suppliers to understand and reduce the cradle-to-gate emissions of high-impact materials, particularly the battery.</w:t>
      </w:r>
    </w:p>
    <w:p>
      <w:pPr>
        <w:numPr>
          <w:ilvl w:val="0"/>
          <w:numId w:val="1017"/>
        </w:numPr>
        <w:pStyle w:val="Compact"/>
      </w:pPr>
      <w:r>
        <w:t xml:space="preserve">**Enhance Manufacturing Efficiency:** Continue increasing the share of renewable energy used in manufacturing operations in China. Explore opportunities for energy efficiency improvements within the factory processes.</w:t>
      </w:r>
    </w:p>
    <w:p>
      <w:pPr>
        <w:numPr>
          <w:ilvl w:val="0"/>
          <w:numId w:val="1017"/>
        </w:numPr>
        <w:pStyle w:val="Compact"/>
      </w:pPr>
      <w:r>
        <w:t xml:space="preserve">**Strengthen Circular Economy Initiatives:** Leverage the existing "tequoyeqnk" circular/take-back programs to maximize the actual recycling rate (uizkeghkmj) beyond the current 60%. Investigate design for disassembly and material recovery to further enhance end-of-life benefits.</w:t>
      </w:r>
    </w:p>
    <w:p>
      <w:pPr>
        <w:numPr>
          <w:ilvl w:val="0"/>
          <w:numId w:val="1017"/>
        </w:numPr>
        <w:pStyle w:val="Compact"/>
      </w:pPr>
      <w:r>
        <w:t xml:space="preserve">**Refine Data Collection:** For future PCF analyses and to achieve the 95% Scope 3 coverage target, implement systems for granular primary data collection across the entire value chain, especially for actual transport data and specific material emission factors.</w:t>
      </w:r>
    </w:p>
    <w:p>
      <w:r>
        <w:pict>
          <v:rect style="width:0;height:1.5pt" o:hralign="center" o:hrstd="t" o:hr="t"/>
        </w:pict>
      </w:r>
    </w:p>
    <w:p>
      <w:pPr>
        <w:pStyle w:val="FirstParagraph"/>
      </w:pPr>
      <w:r>
        <w:t xml:space="preserve">Confidential - Internal Use Only</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xntyflnwfs</dc:title>
  <dc:creator/>
  <dc:description>Detailed Product Carbon Footprint (PCF) analysis report for xntyflnwfs, adhering to GHG Protocol standards, conducted by Senior Sustainability Consultant rvsepesgqq for ksqilrjnjp.</dc:description>
  <dc:language>en</dc:language>
  <cp:keywords/>
  <dcterms:created xsi:type="dcterms:W3CDTF">2026-05-30T11:32:10Z</dcterms:created>
  <dcterms:modified xsi:type="dcterms:W3CDTF">2026-05-30T11:32:10Z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