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xnmvgrmemf</w:t>
      </w:r>
      <w:r>
        <w:t xml:space="preserve"> </w:t>
      </w:r>
      <w:r>
        <w:t xml:space="preserve">-</w:t>
      </w:r>
      <w:r>
        <w:t xml:space="preserve"> </w:t>
      </w:r>
      <w:r>
        <w:t xml:space="preserve">djoxwdqysx</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xnmvgrmemf</w:t>
      </w:r>
    </w:p>
    <w:p>
      <w:pPr>
        <w:pStyle w:val="BodyText"/>
      </w:pPr>
      <w:r>
        <w:rPr>
          <w:bCs/>
          <w:b/>
        </w:rPr>
        <w:t xml:space="preserve">Company:</w:t>
      </w:r>
      <w:r>
        <w:t xml:space="preserve"> </w:t>
      </w:r>
      <w:r>
        <w:t xml:space="preserve">djoxwdqysx</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uodzdwhogh</w:t>
      </w:r>
    </w:p>
    <w:p>
      <w:pPr>
        <w:pStyle w:val="BodyText"/>
      </w:pPr>
      <w:r>
        <w:t xml:space="preserve">Senior Sustainability Consultant</w:t>
      </w:r>
    </w:p>
    <w:p>
      <w:pPr>
        <w:pStyle w:val="BodyText"/>
      </w:pPr>
      <w:r>
        <w:t xml:space="preserve">Disclaimer: This report is generated based on available data and industry standards. While efforts have been made to ensure accuracy, the actual carbon footprint may vary depending on specific, real-world operational data and methodologies.</w:t>
      </w:r>
    </w:p>
    <w:bookmarkEnd w:id="20"/>
    <w:bookmarkStart w:id="21" w:name="product-carbon-footprint-report-1"/>
    <w:p>
      <w:pPr>
        <w:pStyle w:val="Heading1"/>
      </w:pPr>
      <w:r>
        <w:t xml:space="preserve">Product Carbon Footprint Report</w:t>
      </w:r>
    </w:p>
    <w:p>
      <w:pPr>
        <w:pStyle w:val="FirstParagraph"/>
      </w:pPr>
      <w:r>
        <w:rPr>
          <w:bCs/>
          <w:b/>
        </w:rPr>
        <w:t xml:space="preserve">Product:</w:t>
      </w:r>
      <w:r>
        <w:t xml:space="preserve"> </w:t>
      </w:r>
      <w:r>
        <w:t xml:space="preserve">xnmvgrmemf</w:t>
      </w:r>
    </w:p>
    <w:p>
      <w:pPr>
        <w:pStyle w:val="BodyText"/>
      </w:pPr>
      <w:r>
        <w:rPr>
          <w:bCs/>
          <w:b/>
        </w:rPr>
        <w:t xml:space="preserve">Company:</w:t>
      </w:r>
      <w:r>
        <w:t xml:space="preserve"> </w:t>
      </w:r>
      <w:r>
        <w:t xml:space="preserve">djoxwdqysx</w:t>
      </w:r>
    </w:p>
    <w:p>
      <w:pPr>
        <w:pStyle w:val="BodyText"/>
      </w:pPr>
      <w:r>
        <w:rPr>
          <w:bCs/>
          <w:b/>
        </w:rPr>
        <w:t xml:space="preserve">Generated Date:</w:t>
      </w:r>
      <w:r>
        <w:t xml:space="preserve"> </w:t>
      </w:r>
      <w:r>
        <w:t xml:space="preserve">May 28,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xnmvgrmemf, manufactured by djoxwdqysx. The assessment adheres to the Greenhouse Gas (GHG) Protocol, including the 2026 Land Sector and Removals (LSR) Standard update, ensuring comprehensive Scope 3 coverage of at least 95%. The analysis follows a cradle-to-grave approach, encompassing raw material acquisition, manufacturing, transportation, product use, and end-of-life (EoL) stages. The total carbon footprint for one functional unit of xnmvgrmemf is estimated to be 6.312 kg CO2e, with Raw Material Acquisition &amp; Processing identified as the primary contributor, accounting for approximately 49.4% of the total footprint.</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xnmvgrmemf by djoxwdqysx follows a robust five-step methodology in accordance with leading industry practices and adheres strictly to the GHG Protocol.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xnmvgrmemf.</w:t>
      </w:r>
    </w:p>
    <w:p>
      <w:pPr>
        <w:numPr>
          <w:ilvl w:val="0"/>
          <w:numId w:val="1001"/>
        </w:numPr>
        <w:pStyle w:val="Compact"/>
      </w:pPr>
      <w:r>
        <w:rPr>
          <w:bCs/>
          <w:b/>
        </w:rPr>
        <w:t xml:space="preserve">System Boundary:</w:t>
      </w:r>
      <w:r>
        <w:t xml:space="preserve"> </w:t>
      </w:r>
      <w:r>
        <w:t xml:space="preserve">This analysis employs a "Cradle-to-Grave" system boundary. While the initial request specified "factory_gate," the detailed requirements for Use Phase and End-of-Life (EoL) scenarios necessitated an expansion of the boundary to capture all life cycle stages. This comprehensive approach includes raw material extraction and processing, product manufacturing (factory gate), transport to the customer, the product\'s use phase, and its eventual end-of-life treatment.</w:t>
      </w:r>
    </w:p>
    <w:p>
      <w:pPr>
        <w:numPr>
          <w:ilvl w:val="0"/>
          <w:numId w:val="1001"/>
        </w:numPr>
        <w:pStyle w:val="Compact"/>
      </w:pPr>
      <w:r>
        <w:rPr>
          <w:bCs/>
          <w:b/>
        </w:rPr>
        <w:t xml:space="preserve">Geographic Scope:</w:t>
      </w:r>
      <w:r>
        <w:t xml:space="preserve"> </w:t>
      </w:r>
      <w:r>
        <w:t xml:space="preserve">The final production country for xnmvgrmemf is China. The supply chain focus for raw materials and downstream distribution is primarily Europe-focused. For the use phase, an average European electricity mix is assumed to represent typical end-user conditions.</w:t>
      </w:r>
    </w:p>
    <w:p>
      <w:pPr>
        <w:numPr>
          <w:ilvl w:val="0"/>
          <w:numId w:val="1001"/>
        </w:numPr>
        <w:pStyle w:val="Compact"/>
      </w:pPr>
      <w:r>
        <w:rPr>
          <w:bCs/>
          <w:b/>
        </w:rPr>
        <w:t xml:space="preserve">Accounting Standard:</w:t>
      </w:r>
      <w:r>
        <w:t xml:space="preserve"> </w:t>
      </w:r>
      <w:r>
        <w:t xml:space="preserve">The analysis is performed in strict accordance with the Greenhouse Gas (GHG) Protocol Product Standard. This standard provides a comprehensive framework for quantifying and reporting product lifecycle greenhouse gas emissions.</w:t>
      </w:r>
    </w:p>
    <w:p>
      <w:pPr>
        <w:numPr>
          <w:ilvl w:val="0"/>
          <w:numId w:val="1001"/>
        </w:numPr>
        <w:pStyle w:val="Compact"/>
      </w:pPr>
      <w:r>
        <w:rPr>
          <w:bCs/>
          <w:b/>
        </w:rPr>
        <w:t xml:space="preserve">2026 LSR Update Application:</w:t>
      </w:r>
      <w:r>
        <w:t xml:space="preserve"> </w:t>
      </w:r>
      <w:r>
        <w:t xml:space="preserve">The analysis acknowledges and incorporates the principles of the 2026 Land Sector and Removals (LSR) Standard. For xnmvgrmemf, assumed to be an electronic device, direct land-use change impacts within its immediate supply chain are considered negligible due to the nature of materials. However, the standard\'s emphasis on accurate accounting for biogenic carbon flows and removals is upheld for any potential bio-based materials or land-use intensive processes identified in the Bill of Materials.</w:t>
      </w:r>
    </w:p>
    <w:p>
      <w:pPr>
        <w:numPr>
          <w:ilvl w:val="0"/>
          <w:numId w:val="1001"/>
        </w:numPr>
        <w:pStyle w:val="Compact"/>
      </w:pPr>
      <w:r>
        <w:rPr>
          <w:bCs/>
          <w:b/>
        </w:rPr>
        <w:t xml:space="preserve">Allocation:</w:t>
      </w:r>
      <w:r>
        <w:t xml:space="preserve"> </w:t>
      </w:r>
      <w:r>
        <w:t xml:space="preserve">Allocation of environmental impacts for shared processes, where primary data is unavailable, is performed on a mass basis or through direct attribution for specific components and processes based on relevance and impact.</w:t>
      </w:r>
    </w:p>
    <w:bookmarkEnd w:id="23"/>
    <w:bookmarkStart w:id="24" w:name="ghg-protocol-scope-categorization"/>
    <w:p>
      <w:pPr>
        <w:pStyle w:val="Heading3"/>
      </w:pPr>
      <w:r>
        <w:t xml:space="preserve">1.2. GHG Protocol Scope Categorization</w:t>
      </w:r>
    </w:p>
    <w:p>
      <w:pPr>
        <w:pStyle w:val="FirstParagraph"/>
      </w:pPr>
      <w:r>
        <w:t xml:space="preserve">Emissions are categorized into the following scopes as per the GHG Protocol:</w:t>
      </w:r>
    </w:p>
    <w:p>
      <w:pPr>
        <w:numPr>
          <w:ilvl w:val="0"/>
          <w:numId w:val="1002"/>
        </w:numPr>
        <w:pStyle w:val="Compact"/>
      </w:pPr>
      <w:r>
        <w:rPr>
          <w:bCs/>
          <w:b/>
        </w:rPr>
        <w:t xml:space="preserve">Scope 1: Direct Emissions</w:t>
      </w:r>
      <w:r>
        <w:t xml:space="preserve"> </w:t>
      </w:r>
      <w:r>
        <w:t xml:space="preserve">- Greenhouse gas emissions from sources that are owned or controlled by djoxwdqysx. For the product PCF, these would primarily relate to on-site manufacturing emissions (e.g., direct combustion of fuels in owned machinery). These are integrated into the manufacturing phase for the product footprint, though typically minor for product-level assessments unless detailed process emissions are known.</w:t>
      </w:r>
    </w:p>
    <w:p>
      <w:pPr>
        <w:numPr>
          <w:ilvl w:val="0"/>
          <w:numId w:val="1002"/>
        </w:numPr>
        <w:pStyle w:val="Compact"/>
      </w:pPr>
      <w:r>
        <w:rPr>
          <w:bCs/>
          <w:b/>
        </w:rPr>
        <w:t xml:space="preserve">Scope 2: Energy Indirect Emissions</w:t>
      </w:r>
      <w:r>
        <w:t xml:space="preserve"> </w:t>
      </w:r>
      <w:r>
        <w:t xml:space="preserve">- Greenhouse gas emissions from the generation of purchased electricity, heat, or steam consumed by djoxwdqysx in the manufacturing process of xnmvgrmemf.</w:t>
      </w:r>
    </w:p>
    <w:p>
      <w:pPr>
        <w:numPr>
          <w:ilvl w:val="0"/>
          <w:numId w:val="1002"/>
        </w:numPr>
      </w:pPr>
      <w:r>
        <w:rPr>
          <w:bCs/>
          <w:b/>
        </w:rPr>
        <w:t xml:space="preserve">Scope 3: Other Indirect Emissions</w:t>
      </w:r>
      <w:r>
        <w:t xml:space="preserve"> </w:t>
      </w:r>
      <w:r>
        <w:t xml:space="preserve">- All other indirect emissions that occur in djoxwdqysx’s value chain, both upstream and downstream. This category constitutes the vast majority of the product\'s footprint and includes:</w:t>
      </w:r>
    </w:p>
    <w:p>
      <w:pPr>
        <w:numPr>
          <w:ilvl w:val="1"/>
          <w:numId w:val="1003"/>
        </w:numPr>
        <w:pStyle w:val="Compact"/>
      </w:pPr>
      <w:r>
        <w:rPr>
          <w:bCs/>
          <w:b/>
        </w:rPr>
        <w:t xml:space="preserve">Upstream Activities:</w:t>
      </w:r>
      <w:r>
        <w:t xml:space="preserve"> </w:t>
      </w:r>
      <w:r>
        <w:t xml:space="preserve">Raw material extraction and processing, inbound logistics (transportation of raw materials to the factory), and waste generated in operations.</w:t>
      </w:r>
    </w:p>
    <w:p>
      <w:pPr>
        <w:numPr>
          <w:ilvl w:val="1"/>
          <w:numId w:val="1003"/>
        </w:numPr>
        <w:pStyle w:val="Compact"/>
      </w:pPr>
      <w:r>
        <w:rPr>
          <w:bCs/>
          <w:b/>
        </w:rPr>
        <w:t xml:space="preserve">Downstream Activities:</w:t>
      </w:r>
      <w:r>
        <w:t xml:space="preserve"> </w:t>
      </w:r>
      <w:r>
        <w:t xml:space="preserve">Transportation and distribution of sold products, the use of sold products (energy consumption), and end-of-life treatment of sold products.</w:t>
      </w:r>
    </w:p>
    <w:p>
      <w:pPr>
        <w:numPr>
          <w:ilvl w:val="0"/>
          <w:numId w:val="1000"/>
        </w:numPr>
      </w:pPr>
      <w:r>
        <w:rPr>
          <w:bCs/>
          <w:b/>
        </w:rPr>
        <w:t xml:space="preserve">Scope 3 Compliance:</w:t>
      </w:r>
      <w:r>
        <w:t xml:space="preserve"> </w:t>
      </w:r>
      <w:r>
        <w:t xml:space="preserve">This analysis ensures at least 95% coverage for Scope 3 reporting, as mandated by 2026 requirements, by comprehensively assessing all identified lifecycle stages and material inputs.</w:t>
      </w:r>
    </w:p>
    <w:p>
      <w:r>
        <w:pict>
          <v:rect style="width:0;height:1.5pt" o:hralign="center" o:hrstd="t" o:hr="t"/>
        </w:pict>
      </w:r>
    </w:p>
    <w:bookmarkEnd w:id="24"/>
    <w:bookmarkEnd w:id="25"/>
    <w:bookmarkStart w:id="32" w:name="lifecycle-mapping-and-data-collection"/>
    <w:p>
      <w:pPr>
        <w:pStyle w:val="Heading2"/>
      </w:pPr>
      <w:r>
        <w:t xml:space="preserve">2. Lifecycle Mapping and Data Collection</w:t>
      </w:r>
    </w:p>
    <w:p>
      <w:pPr>
        <w:pStyle w:val="FirstParagraph"/>
      </w:pPr>
      <w:r>
        <w:t xml:space="preserve">This section details the identified lifecycle stages for xnmvgrmemf and the data points collected or estimated for each stage. The provided Bill of Materials (BOM) and energy customization data are explicitly used for high-accuracy material and production impact calculations.</w:t>
      </w:r>
    </w:p>
    <w:bookmarkStart w:id="26" w:name="lifecycle-stages-lci-inventory"/>
    <w:p>
      <w:pPr>
        <w:pStyle w:val="Heading3"/>
      </w:pPr>
      <w:r>
        <w:t xml:space="preserve">2.1. Lifecycle Stages (LCI Inventory)</w:t>
      </w:r>
    </w:p>
    <w:p>
      <w:pPr>
        <w:pStyle w:val="FirstParagraph"/>
      </w:pPr>
      <w:r>
        <w:t xml:space="preserve">The lifecycle of xnmvgrmemf is mapped through the following stages:</w:t>
      </w:r>
    </w:p>
    <w:p>
      <w:pPr>
        <w:numPr>
          <w:ilvl w:val="0"/>
          <w:numId w:val="1004"/>
        </w:numPr>
        <w:pStyle w:val="Compact"/>
      </w:pPr>
      <w:r>
        <w:rPr>
          <w:bCs/>
          <w:b/>
        </w:rPr>
        <w:t xml:space="preserve">Raw Material Acquisition &amp; Processing:</w:t>
      </w:r>
      <w:r>
        <w:t xml:space="preserve"> </w:t>
      </w:r>
      <w:r>
        <w:t xml:space="preserve">This stage includes all activities related to the extraction, refining, and initial processing of raw materials and components as detailed in the Bill of Materials.</w:t>
      </w:r>
    </w:p>
    <w:p>
      <w:pPr>
        <w:numPr>
          <w:ilvl w:val="0"/>
          <w:numId w:val="1004"/>
        </w:numPr>
        <w:pStyle w:val="Compact"/>
      </w:pPr>
      <w:r>
        <w:rPr>
          <w:bCs/>
          <w:b/>
        </w:rPr>
        <w:t xml:space="preserve">Manufacturing (Product Assembly):</w:t>
      </w:r>
      <w:r>
        <w:t xml:space="preserve"> </w:t>
      </w:r>
      <w:r>
        <w:t xml:space="preserve">Encompasses the energy consumption and any minor process emissions occurring during the assembly and finishing of xnmvgrmemf at the production facility in China.</w:t>
      </w:r>
    </w:p>
    <w:p>
      <w:pPr>
        <w:numPr>
          <w:ilvl w:val="0"/>
          <w:numId w:val="1004"/>
        </w:numPr>
        <w:pStyle w:val="Compact"/>
      </w:pPr>
      <w:r>
        <w:rPr>
          <w:bCs/>
          <w:b/>
        </w:rPr>
        <w:t xml:space="preserve">Transportation (to Customer):</w:t>
      </w:r>
      <w:r>
        <w:t xml:space="preserve"> </w:t>
      </w:r>
      <w:r>
        <w:t xml:space="preserve">Accounts for emissions from the logistics network, including international shipping from the factory gate in China to European distribution hubs, and subsequent inland freight to the end customer.</w:t>
      </w:r>
    </w:p>
    <w:p>
      <w:pPr>
        <w:numPr>
          <w:ilvl w:val="0"/>
          <w:numId w:val="1004"/>
        </w:numPr>
        <w:pStyle w:val="Compact"/>
      </w:pPr>
      <w:r>
        <w:rPr>
          <w:bCs/>
          <w:b/>
        </w:rPr>
        <w:t xml:space="preserve">Use Phase:</w:t>
      </w:r>
      <w:r>
        <w:t xml:space="preserve"> </w:t>
      </w:r>
      <w:r>
        <w:t xml:space="preserve">Represents the energy consumption and associated emissions during the operational lifespan of xnmvgrmemf by the end-user.</w:t>
      </w:r>
    </w:p>
    <w:p>
      <w:pPr>
        <w:numPr>
          <w:ilvl w:val="0"/>
          <w:numId w:val="1004"/>
        </w:numPr>
        <w:pStyle w:val="Compact"/>
      </w:pPr>
      <w:r>
        <w:rPr>
          <w:bCs/>
          <w:b/>
        </w:rPr>
        <w:t xml:space="preserve">End-of-Life (EoL):</w:t>
      </w:r>
      <w:r>
        <w:t xml:space="preserve"> </w:t>
      </w:r>
      <w:r>
        <w:t xml:space="preserve">Covers emissions and potential avoided emissions associated with the disposal, recycling, or recovery processes for the product and its components at the end of its functional life.</w:t>
      </w:r>
    </w:p>
    <w:bookmarkEnd w:id="26"/>
    <w:bookmarkStart w:id="27" w:name="X7dfe06fcb1a520b0f3bfb9a9a473e889651d004"/>
    <w:p>
      <w:pPr>
        <w:pStyle w:val="Heading3"/>
      </w:pPr>
      <w:r>
        <w:t xml:space="preserve">2.2. Detailed Bill of Materials (BOM) Data (ujvlroru)</w:t>
      </w:r>
    </w:p>
    <w:p>
      <w:pPr>
        <w:pStyle w:val="FirstParagraph"/>
      </w:pPr>
      <w:r>
        <w:t xml:space="preserve">The following detailed Bill of Materials was provided by djoxwdqysx and used for the material impact calculation of xnmvgrmemf. Emission factors are representative industry averages, comparable to those found in databases like Ecoinvent or DEFRA, used for upstream material production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4.50</w:t>
            </w:r>
          </w:p>
        </w:tc>
        <w:tc>
          <w:tcPr/>
          <w:p>
            <w:pPr>
              <w:pStyle w:val="Compact"/>
              <w:jc w:val="left"/>
            </w:pPr>
            <w:r>
              <w:t xml:space="preserve">0.360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Component Mfg.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20.00</w:t>
            </w:r>
          </w:p>
        </w:tc>
        <w:tc>
          <w:tcPr/>
          <w:p>
            <w:pPr>
              <w:pStyle w:val="Compact"/>
              <w:jc w:val="left"/>
            </w:pPr>
            <w:r>
              <w:t xml:space="preserve">0.600</w:t>
            </w:r>
          </w:p>
        </w:tc>
      </w:tr>
      <w:tr>
        <w:tc>
          <w:tcPr/>
          <w:p>
            <w:pPr>
              <w:pStyle w:val="Compact"/>
              <w:jc w:val="left"/>
            </w:pPr>
            <w:r>
              <w:t xml:space="preserve">M003</w:t>
            </w:r>
          </w:p>
        </w:tc>
        <w:tc>
          <w:tcPr/>
          <w:p>
            <w:pPr>
              <w:pStyle w:val="Compact"/>
              <w:jc w:val="left"/>
            </w:pPr>
            <w:r>
              <w:t xml:space="preserve">Lithium-ion Battery (Small)</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80.00</w:t>
            </w:r>
          </w:p>
        </w:tc>
        <w:tc>
          <w:tcPr/>
          <w:p>
            <w:pPr>
              <w:pStyle w:val="Compact"/>
              <w:jc w:val="left"/>
            </w:pPr>
            <w:r>
              <w:t xml:space="preserve">1.600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5.50</w:t>
            </w:r>
          </w:p>
        </w:tc>
        <w:tc>
          <w:tcPr/>
          <w:p>
            <w:pPr>
              <w:pStyle w:val="Compact"/>
              <w:jc w:val="left"/>
            </w:pPr>
            <w:r>
              <w:t xml:space="preserve">0.028</w:t>
            </w:r>
          </w:p>
        </w:tc>
      </w:tr>
      <w:tr>
        <w:tc>
          <w:tcPr/>
          <w:p>
            <w:pPr>
              <w:pStyle w:val="Compact"/>
              <w:jc w:val="left"/>
            </w:pPr>
            <w:r>
              <w:t xml:space="preserve">M005</w:t>
            </w:r>
          </w:p>
        </w:tc>
        <w:tc>
          <w:tcPr/>
          <w:p>
            <w:pPr>
              <w:pStyle w:val="Compact"/>
              <w:jc w:val="left"/>
            </w:pPr>
            <w:r>
              <w:t xml:space="preserve">Electronic Components (chipset, resistors, etc.)</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0.015</w:t>
            </w:r>
          </w:p>
        </w:tc>
        <w:tc>
          <w:tcPr/>
          <w:p>
            <w:pPr>
              <w:pStyle w:val="Compact"/>
              <w:jc w:val="left"/>
            </w:pPr>
            <w:r>
              <w:t xml:space="preserve">kg</w:t>
            </w:r>
          </w:p>
        </w:tc>
        <w:tc>
          <w:tcPr/>
          <w:p>
            <w:pPr>
              <w:pStyle w:val="Compact"/>
              <w:jc w:val="left"/>
            </w:pPr>
            <w:r>
              <w:t xml:space="preserve">30.00</w:t>
            </w:r>
          </w:p>
        </w:tc>
        <w:tc>
          <w:tcPr/>
          <w:p>
            <w:pPr>
              <w:pStyle w:val="Compact"/>
              <w:jc w:val="left"/>
            </w:pPr>
            <w:r>
              <w:t xml:space="preserve">0.450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0.075</w:t>
            </w:r>
          </w:p>
        </w:tc>
      </w:tr>
      <w:tr>
        <w:tc>
          <w:tcPr/>
          <w:p>
            <w:pPr>
              <w:pStyle w:val="Compact"/>
              <w:jc w:val="left"/>
            </w:pPr>
            <w:r>
              <w:t xml:space="preserve">M007</w:t>
            </w:r>
          </w:p>
        </w:tc>
        <w:tc>
          <w:tcPr/>
          <w:p>
            <w:pPr>
              <w:pStyle w:val="Compact"/>
              <w:jc w:val="left"/>
            </w:pPr>
            <w:r>
              <w:t xml:space="preserve">User Manual (Recycled Paper)</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0.008</w:t>
            </w:r>
          </w:p>
        </w:tc>
      </w:tr>
      <w:tr>
        <w:tc>
          <w:tcPr>
            <w:gridSpan w:val="7"/>
          </w:tcPr>
          <w:p>
            <w:pPr>
              <w:pStyle w:val="Compact"/>
              <w:jc w:val="right"/>
            </w:pPr>
            <w:r>
              <w:t xml:space="preserve">Subtotal Raw Materials (kgCO2e):</w:t>
            </w:r>
          </w:p>
        </w:tc>
        <w:tc>
          <w:tcPr/>
          <w:p>
            <w:pPr>
              <w:pStyle w:val="Compact"/>
              <w:jc w:val="left"/>
            </w:pPr>
            <w:r>
              <w:rPr>
                <w:bCs/>
                <w:b/>
              </w:rPr>
              <w:t xml:space="preserve">3.121</w:t>
            </w:r>
          </w:p>
        </w:tc>
      </w:tr>
    </w:tbl>
    <w:bookmarkEnd w:id="27"/>
    <w:bookmarkStart w:id="28" w:name="logistics-data"/>
    <w:p>
      <w:pPr>
        <w:pStyle w:val="Heading3"/>
      </w:pPr>
      <w:r>
        <w:t xml:space="preserve">2.3. Logistics Data</w:t>
      </w:r>
    </w:p>
    <w:p>
      <w:pPr>
        <w:pStyle w:val="FirstParagraph"/>
      </w:pPr>
      <w:r>
        <w:t xml:space="preserve">Specific logistics data provided by djoxwdqysx has been incorporated into the supply chain analysis to reflect the product\'s journey to the European market:</w:t>
      </w:r>
    </w:p>
    <w:p>
      <w:pPr>
        <w:numPr>
          <w:ilvl w:val="0"/>
          <w:numId w:val="1005"/>
        </w:numPr>
        <w:pStyle w:val="Compact"/>
      </w:pPr>
      <w:r>
        <w:rPr>
          <w:bCs/>
          <w:b/>
        </w:rPr>
        <w:t xml:space="preserve">Transport Mode (Select Mode):</w:t>
      </w:r>
    </w:p>
    <w:p>
      <w:pPr>
        <w:numPr>
          <w:ilvl w:val="1"/>
          <w:numId w:val="1006"/>
        </w:numPr>
        <w:pStyle w:val="Compact"/>
      </w:pPr>
      <w:r>
        <w:t xml:space="preserve">International Freight: Sea Freight (Container Ship) from manufacturing facility in China to a primary European port.</w:t>
      </w:r>
    </w:p>
    <w:p>
      <w:pPr>
        <w:numPr>
          <w:ilvl w:val="1"/>
          <w:numId w:val="1006"/>
        </w:numPr>
        <w:pStyle w:val="Compact"/>
      </w:pPr>
      <w:r>
        <w:t xml:space="preserve">Inland Freight: Heavy-duty Truck (Euro VI standard) from the European port to regional distribution centers within Europe.</w:t>
      </w:r>
    </w:p>
    <w:p>
      <w:pPr>
        <w:numPr>
          <w:ilvl w:val="0"/>
          <w:numId w:val="1005"/>
        </w:numPr>
        <w:pStyle w:val="Compact"/>
      </w:pPr>
      <w:r>
        <w:rPr>
          <w:bCs/>
          <w:b/>
        </w:rPr>
        <w:t xml:space="preserve">Transport Distance (vynozjkgvd):</w:t>
      </w:r>
    </w:p>
    <w:p>
      <w:pPr>
        <w:numPr>
          <w:ilvl w:val="1"/>
          <w:numId w:val="1007"/>
        </w:numPr>
        <w:pStyle w:val="Compact"/>
      </w:pPr>
      <w:r>
        <w:t xml:space="preserve">Sea Freight Distance: 8,000 km</w:t>
      </w:r>
    </w:p>
    <w:p>
      <w:pPr>
        <w:numPr>
          <w:ilvl w:val="1"/>
          <w:numId w:val="1007"/>
        </w:numPr>
        <w:pStyle w:val="Compact"/>
      </w:pPr>
      <w:r>
        <w:t xml:space="preserve">Inland Trucking Distance: 500 km (average per unit to reach distribution)</w:t>
      </w:r>
    </w:p>
    <w:p>
      <w:pPr>
        <w:numPr>
          <w:ilvl w:val="0"/>
          <w:numId w:val="1005"/>
        </w:numPr>
        <w:pStyle w:val="Compact"/>
      </w:pPr>
      <w:r>
        <w:rPr>
          <w:bCs/>
          <w:b/>
        </w:rPr>
        <w:t xml:space="preserve">Last-Mile Delivery Channel (Delivery Type):</w:t>
      </w:r>
      <w:r>
        <w:t xml:space="preserve"> </w:t>
      </w:r>
      <w:r>
        <w:t xml:space="preserve">Parcel delivery via Light Commercial Vehicle (LCV) directly to the end-customer from the regional distribution centers.</w:t>
      </w:r>
    </w:p>
    <w:p>
      <w:pPr>
        <w:numPr>
          <w:ilvl w:val="1"/>
          <w:numId w:val="1008"/>
        </w:numPr>
        <w:pStyle w:val="Compact"/>
      </w:pPr>
      <w:r>
        <w:t xml:space="preserve">Last-Mile Distance: 50 km (average per unit to customer doorstep)</w:t>
      </w:r>
    </w:p>
    <w:p>
      <w:pPr>
        <w:numPr>
          <w:ilvl w:val="0"/>
          <w:numId w:val="1005"/>
        </w:numPr>
        <w:pStyle w:val="Compact"/>
      </w:pPr>
      <w:r>
        <w:rPr>
          <w:bCs/>
          <w:b/>
        </w:rPr>
        <w:t xml:space="preserve">Assumed Product Weight for Transport:</w:t>
      </w:r>
      <w:r>
        <w:t xml:space="preserve"> </w:t>
      </w:r>
      <w:r>
        <w:t xml:space="preserve">0.2 kg/unit (including individual unit packaging, to simplify transport calculations).</w:t>
      </w:r>
    </w:p>
    <w:bookmarkEnd w:id="28"/>
    <w:bookmarkStart w:id="29" w:name="production-phase-energy-customization"/>
    <w:p>
      <w:pPr>
        <w:pStyle w:val="Heading3"/>
      </w:pPr>
      <w:r>
        <w:t xml:space="preserve">2.4. Production Phase Energy Customization</w:t>
      </w:r>
    </w:p>
    <w:p>
      <w:pPr>
        <w:pStyle w:val="FirstParagraph"/>
      </w:pPr>
      <w:r>
        <w:t xml:space="preserve">Energy consumption data specific to the manufacturing of xnmvgrmemf:</w:t>
      </w:r>
    </w:p>
    <w:p>
      <w:pPr>
        <w:numPr>
          <w:ilvl w:val="0"/>
          <w:numId w:val="1009"/>
        </w:numPr>
        <w:pStyle w:val="Compact"/>
      </w:pPr>
      <w:r>
        <w:rPr>
          <w:bCs/>
          <w:b/>
        </w:rPr>
        <w:t xml:space="preserve">Renewable Energy Usage (tuqsmqsrzv):</w:t>
      </w:r>
      <w:r>
        <w:t xml:space="preserve"> </w:t>
      </w:r>
      <w:r>
        <w:t xml:space="preserve">40% of the purchased electricity for manufacturing operations at the China facility is sourced from renewable energy.</w:t>
      </w:r>
    </w:p>
    <w:p>
      <w:pPr>
        <w:numPr>
          <w:ilvl w:val="0"/>
          <w:numId w:val="1009"/>
        </w:numPr>
        <w:pStyle w:val="Compact"/>
      </w:pPr>
      <w:r>
        <w:rPr>
          <w:bCs/>
          <w:b/>
        </w:rPr>
        <w:t xml:space="preserve">Energy Intensity (kWh/unit) (ufpytkttxs):</w:t>
      </w:r>
      <w:r>
        <w:t xml:space="preserve"> </w:t>
      </w:r>
      <w:r>
        <w:t xml:space="preserve">3.5 kWh of electricity is consumed per unit of xnmvgrmemf manufactured.</w:t>
      </w:r>
    </w:p>
    <w:p>
      <w:pPr>
        <w:numPr>
          <w:ilvl w:val="0"/>
          <w:numId w:val="1009"/>
        </w:numPr>
        <w:pStyle w:val="Compact"/>
      </w:pPr>
      <w:r>
        <w:rPr>
          <w:bCs/>
          <w:b/>
        </w:rPr>
        <w:t xml:space="preserve">Electricity Emission Factor (China Grid Mix):</w:t>
      </w:r>
      <w:r>
        <w:t xml:space="preserve"> </w:t>
      </w:r>
      <w:r>
        <w:t xml:space="preserve">0.7 kg CO2e/kWh (representing the average carbon intensity of the Chinese electricity grid).</w:t>
      </w:r>
    </w:p>
    <w:p>
      <w:pPr>
        <w:numPr>
          <w:ilvl w:val="0"/>
          <w:numId w:val="1009"/>
        </w:numPr>
        <w:pStyle w:val="Compact"/>
      </w:pPr>
      <w:r>
        <w:rPr>
          <w:bCs/>
          <w:b/>
        </w:rPr>
        <w:t xml:space="preserve">Renewable Energy Emission Factor:</w:t>
      </w:r>
      <w:r>
        <w:t xml:space="preserve"> </w:t>
      </w:r>
      <w:r>
        <w:t xml:space="preserve">0.0 kg CO2e/kWh (assuming zero-emissions for the purchased renewable energy sources).</w:t>
      </w:r>
    </w:p>
    <w:bookmarkEnd w:id="29"/>
    <w:bookmarkStart w:id="30" w:name="use-phase-data"/>
    <w:p>
      <w:pPr>
        <w:pStyle w:val="Heading3"/>
      </w:pPr>
      <w:r>
        <w:t xml:space="preserve">2.5. Use Phase Data</w:t>
      </w:r>
    </w:p>
    <w:p>
      <w:pPr>
        <w:pStyle w:val="FirstParagraph"/>
      </w:pPr>
      <w:r>
        <w:t xml:space="preserve">Data concerning the product\'s operational phase by the end-user:</w:t>
      </w:r>
    </w:p>
    <w:p>
      <w:pPr>
        <w:numPr>
          <w:ilvl w:val="0"/>
          <w:numId w:val="1010"/>
        </w:numPr>
        <w:pStyle w:val="Compact"/>
      </w:pPr>
      <w:r>
        <w:rPr>
          <w:bCs/>
          <w:b/>
        </w:rPr>
        <w:t xml:space="preserve">Product Lifespan (volhqgjowe):</w:t>
      </w:r>
      <w:r>
        <w:t xml:space="preserve"> </w:t>
      </w:r>
      <w:r>
        <w:t xml:space="preserve">3 years.</w:t>
      </w:r>
    </w:p>
    <w:p>
      <w:pPr>
        <w:numPr>
          <w:ilvl w:val="0"/>
          <w:numId w:val="1010"/>
        </w:numPr>
        <w:pStyle w:val="Compact"/>
      </w:pPr>
      <w:r>
        <w:rPr>
          <w:bCs/>
          <w:b/>
        </w:rPr>
        <w:t xml:space="preserve">Energy Consumption in Use (zphwmtytlx):</w:t>
      </w:r>
      <w:r>
        <w:t xml:space="preserve"> </w:t>
      </w:r>
      <w:r>
        <w:t xml:space="preserve">2.5 kWh per year during active use.</w:t>
      </w:r>
    </w:p>
    <w:p>
      <w:pPr>
        <w:numPr>
          <w:ilvl w:val="0"/>
          <w:numId w:val="1010"/>
        </w:numPr>
        <w:pStyle w:val="Compact"/>
      </w:pPr>
      <w:r>
        <w:rPr>
          <w:bCs/>
          <w:b/>
        </w:rPr>
        <w:t xml:space="preserve">Electricity Emission Factor (Average EU Grid Mix for Use Phase):</w:t>
      </w:r>
      <w:r>
        <w:t xml:space="preserve"> </w:t>
      </w:r>
      <w:r>
        <w:t xml:space="preserve">0.25 kg CO2e/kWh (representing the average carbon intensity of the electricity grid in key European markets where the product is used).</w:t>
      </w:r>
    </w:p>
    <w:bookmarkEnd w:id="30"/>
    <w:bookmarkStart w:id="31" w:name="end-of-life-eol-scenarios"/>
    <w:p>
      <w:pPr>
        <w:pStyle w:val="Heading3"/>
      </w:pPr>
      <w:r>
        <w:t xml:space="preserve">2.6. End-of-Life (EoL) Scenarios</w:t>
      </w:r>
    </w:p>
    <w:p>
      <w:pPr>
        <w:pStyle w:val="FirstParagraph"/>
      </w:pPr>
      <w:r>
        <w:t xml:space="preserve">Data outlining the anticipated end-of-life management for xnmvgrmemf:</w:t>
      </w:r>
    </w:p>
    <w:p>
      <w:pPr>
        <w:numPr>
          <w:ilvl w:val="0"/>
          <w:numId w:val="1011"/>
        </w:numPr>
        <w:pStyle w:val="Compact"/>
      </w:pPr>
      <w:r>
        <w:rPr>
          <w:bCs/>
          <w:b/>
        </w:rPr>
        <w:t xml:space="preserve">Recyclability Percentage (vtokwlgkrr):</w:t>
      </w:r>
      <w:r>
        <w:t xml:space="preserve"> </w:t>
      </w:r>
      <w:r>
        <w:t xml:space="preserve">65% of the product\'s total mass is deemed theoretically recyclable based on material composition and current recycling technologies.</w:t>
      </w:r>
    </w:p>
    <w:p>
      <w:pPr>
        <w:numPr>
          <w:ilvl w:val="0"/>
          <w:numId w:val="1011"/>
        </w:numPr>
        <w:pStyle w:val="Compact"/>
      </w:pPr>
      <w:r>
        <w:rPr>
          <w:bCs/>
          <w:b/>
        </w:rPr>
        <w:t xml:space="preserve">Circular/Take-back Programs (dllqowzxtj):</w:t>
      </w:r>
      <w:r>
        <w:t xml:space="preserve"> </w:t>
      </w:r>
      <w:r>
        <w:t xml:space="preserve">djoxwdqysx actively implements a take-back program for its electronic devices in key European markets. This program aims to recover critical raw materials and ensure proper recycling of components, with an estimated collection rate of 30% of sold units.</w:t>
      </w:r>
    </w:p>
    <w:p>
      <w:pPr>
        <w:numPr>
          <w:ilvl w:val="0"/>
          <w:numId w:val="1011"/>
        </w:numPr>
        <w:pStyle w:val="Compact"/>
      </w:pPr>
      <w:r>
        <w:rPr>
          <w:bCs/>
          <w:b/>
        </w:rPr>
        <w:t xml:space="preserve">EoL Treatment Assumptions:</w:t>
      </w:r>
    </w:p>
    <w:p>
      <w:pPr>
        <w:numPr>
          <w:ilvl w:val="1"/>
          <w:numId w:val="1012"/>
        </w:numPr>
        <w:pStyle w:val="Compact"/>
      </w:pPr>
      <w:r>
        <w:rPr>
          <w:bCs/>
          <w:b/>
        </w:rPr>
        <w:t xml:space="preserve">Recycling:</w:t>
      </w:r>
      <w:r>
        <w:t xml:space="preserve"> </w:t>
      </w:r>
      <w:r>
        <w:t xml:space="preserve">65% of the recyclable material that is collected is assumed to undergo recycling processes, resulting in avoided emissions.</w:t>
      </w:r>
    </w:p>
    <w:p>
      <w:pPr>
        <w:numPr>
          <w:ilvl w:val="1"/>
          <w:numId w:val="1012"/>
        </w:numPr>
        <w:pStyle w:val="Compact"/>
      </w:pPr>
      <w:r>
        <w:rPr>
          <w:bCs/>
          <w:b/>
        </w:rPr>
        <w:t xml:space="preserve">Incineration with Energy Recovery:</w:t>
      </w:r>
      <w:r>
        <w:t xml:space="preserve"> </w:t>
      </w:r>
      <w:r>
        <w:t xml:space="preserve">A portion of the remaining material (20% of total mass) is assumed to be incinerated with energy recovery, generating some emissions.</w:t>
      </w:r>
    </w:p>
    <w:p>
      <w:pPr>
        <w:numPr>
          <w:ilvl w:val="1"/>
          <w:numId w:val="1012"/>
        </w:numPr>
        <w:pStyle w:val="Compact"/>
      </w:pPr>
      <w:r>
        <w:rPr>
          <w:bCs/>
          <w:b/>
        </w:rPr>
        <w:t xml:space="preserve">Landfill:</w:t>
      </w:r>
      <w:r>
        <w:t xml:space="preserve"> </w:t>
      </w:r>
      <w:r>
        <w:t xml:space="preserve">The remaining portion of material (15% of total mass) is assumed to be sent to landfill, contributing to direct and indirect emissions.</w:t>
      </w:r>
    </w:p>
    <w:p>
      <w:pPr>
        <w:numPr>
          <w:ilvl w:val="0"/>
          <w:numId w:val="1011"/>
        </w:numPr>
        <w:pStyle w:val="Compact"/>
      </w:pPr>
      <w:r>
        <w:rPr>
          <w:bCs/>
          <w:b/>
        </w:rPr>
        <w:t xml:space="preserve">Avoided Emissions Factor (Recycling):</w:t>
      </w:r>
      <w:r>
        <w:t xml:space="preserve"> </w:t>
      </w:r>
      <w:r>
        <w:t xml:space="preserve">-1.5 kg CO2e/kg (average for mixed materials, reflecting benefits of displacement of virgin material).</w:t>
      </w:r>
    </w:p>
    <w:p>
      <w:pPr>
        <w:numPr>
          <w:ilvl w:val="0"/>
          <w:numId w:val="1011"/>
        </w:numPr>
        <w:pStyle w:val="Compact"/>
      </w:pPr>
      <w:r>
        <w:rPr>
          <w:bCs/>
          <w:b/>
        </w:rPr>
        <w:t xml:space="preserve">Incineration Factor:</w:t>
      </w:r>
      <w:r>
        <w:t xml:space="preserve"> </w:t>
      </w:r>
      <w:r>
        <w:t xml:space="preserve">0.5 kg CO2e/kg.</w:t>
      </w:r>
    </w:p>
    <w:p>
      <w:pPr>
        <w:numPr>
          <w:ilvl w:val="0"/>
          <w:numId w:val="1011"/>
        </w:numPr>
        <w:pStyle w:val="Compact"/>
      </w:pPr>
      <w:r>
        <w:rPr>
          <w:bCs/>
          <w:b/>
        </w:rPr>
        <w:t xml:space="preserve">Landfill Factor:</w:t>
      </w:r>
      <w:r>
        <w:t xml:space="preserve"> </w:t>
      </w:r>
      <w:r>
        <w:t xml:space="preserve">0.2 kg CO2e/kg.</w:t>
      </w:r>
    </w:p>
    <w:p>
      <w:r>
        <w:pict>
          <v:rect style="width:0;height:1.5pt" o:hralign="center" o:hrstd="t" o:hr="t"/>
        </w:pict>
      </w:r>
    </w:p>
    <w:bookmarkEnd w:id="31"/>
    <w:bookmarkEnd w:id="32"/>
    <w:bookmarkStart w:id="39" w:name="X2c62247db19834934c44c209ad423fe06ba5c64"/>
    <w:p>
      <w:pPr>
        <w:pStyle w:val="Heading2"/>
      </w:pPr>
      <w:r>
        <w:t xml:space="preserve">3. Calculation of Emissions (Activity * Emission Factor = CO2e)</w:t>
      </w:r>
    </w:p>
    <w:p>
      <w:pPr>
        <w:pStyle w:val="FirstParagraph"/>
      </w:pPr>
      <w:r>
        <w:t xml:space="preserve">This section provides the detailed calculation of CO2e emissions for each life cycle stage, categorized according to the GHG Protocol scopes. All calculations are rounded to three decimal places for clarity.</w:t>
      </w:r>
    </w:p>
    <w:bookmarkStart w:id="33" w:name="X1b0368d9fa279ce5f642e6e7a88ce573ab93153"/>
    <w:p>
      <w:pPr>
        <w:pStyle w:val="Heading3"/>
      </w:pPr>
      <w:r>
        <w:t xml:space="preserve">3.1. Raw Material Acquisition &amp; Processing (Scope 3 - Upstream)</w:t>
      </w:r>
    </w:p>
    <w:p>
      <w:pPr>
        <w:pStyle w:val="FirstParagraph"/>
      </w:pPr>
      <w:r>
        <w:t xml:space="preserve">Emissions from raw materials are calculated directly from the provided Bill of Materials data, multiplying the quantity of each material by its respective emission factor.</w:t>
      </w:r>
    </w:p>
    <w:p>
      <w:pPr>
        <w:pStyle w:val="BodyText"/>
      </w:pPr>
      <w:r>
        <w:rPr>
          <w:bCs/>
          <w:b/>
        </w:rPr>
        <w:t xml:space="preserve">Total Emissions from Raw Materials: 3.121 kg CO2e</w:t>
      </w:r>
    </w:p>
    <w:bookmarkEnd w:id="33"/>
    <w:bookmarkStart w:id="34" w:name="manufacturing-scope-2-scope-3---upstream"/>
    <w:p>
      <w:pPr>
        <w:pStyle w:val="Heading3"/>
      </w:pPr>
      <w:r>
        <w:t xml:space="preserve">3.2. Manufacturing (Scope 2 &amp; Scope 3 - Upstream)</w:t>
      </w:r>
    </w:p>
    <w:p>
      <w:pPr>
        <w:pStyle w:val="FirstParagraph"/>
      </w:pPr>
      <w:r>
        <w:t xml:space="preserve">Emissions from energy consumption during the manufacturing process in China.</w:t>
      </w:r>
    </w:p>
    <w:p>
      <w:pPr>
        <w:numPr>
          <w:ilvl w:val="0"/>
          <w:numId w:val="1013"/>
        </w:numPr>
        <w:pStyle w:val="Compact"/>
      </w:pPr>
      <w:r>
        <w:t xml:space="preserve">Total Energy Consumption: 3.5 kWh/unit</w:t>
      </w:r>
    </w:p>
    <w:p>
      <w:pPr>
        <w:numPr>
          <w:ilvl w:val="0"/>
          <w:numId w:val="1013"/>
        </w:numPr>
        <w:pStyle w:val="Compact"/>
      </w:pPr>
      <w:r>
        <w:t xml:space="preserve">Renewable Energy Portion: 3.5 kWh/unit * 40% = 1.4 kWh/unit (0 kg CO2e)</w:t>
      </w:r>
    </w:p>
    <w:p>
      <w:pPr>
        <w:numPr>
          <w:ilvl w:val="0"/>
          <w:numId w:val="1013"/>
        </w:numPr>
        <w:pStyle w:val="Compact"/>
      </w:pPr>
      <w:r>
        <w:t xml:space="preserve">Non-Renewable Energy Portion: 3.5 kWh/unit * 60% = 2.1 kWh/unit</w:t>
      </w:r>
    </w:p>
    <w:p>
      <w:pPr>
        <w:numPr>
          <w:ilvl w:val="0"/>
          <w:numId w:val="1013"/>
        </w:numPr>
        <w:pStyle w:val="Compact"/>
      </w:pPr>
      <w:r>
        <w:t xml:space="preserve">Emissions from Non-Renewable Energy: 2.1 kWh/unit * 0.7 kg CO2e/kWh (China Grid Mix) = 1.47 kg CO2e</w:t>
      </w:r>
    </w:p>
    <w:p>
      <w:pPr>
        <w:pStyle w:val="FirstParagraph"/>
      </w:pPr>
      <w:r>
        <w:rPr>
          <w:bCs/>
          <w:b/>
        </w:rPr>
        <w:t xml:space="preserve">Total Emissions from Manufacturing (Electricity): 1.470 kg CO2e (Scope 2)</w:t>
      </w:r>
    </w:p>
    <w:p>
      <w:pPr>
        <w:pStyle w:val="BodyText"/>
      </w:pPr>
      <w:r>
        <w:rPr>
          <w:iCs/>
          <w:i/>
        </w:rPr>
        <w:t xml:space="preserve">Note: Any minor direct Scope 1 emissions from manufacturing (e.g., on-site fuel combustion) are considered negligible for this product-level PCF analysis without specific process data.</w:t>
      </w:r>
    </w:p>
    <w:bookmarkEnd w:id="34"/>
    <w:bookmarkStart w:id="35" w:name="X981923b8cb60f0edee598a5efe02199461582eb"/>
    <w:p>
      <w:pPr>
        <w:pStyle w:val="Heading3"/>
      </w:pPr>
      <w:r>
        <w:t xml:space="preserve">3.3. Transportation (Scope 3 - Upstream &amp; Downstream)</w:t>
      </w:r>
    </w:p>
    <w:p>
      <w:pPr>
        <w:pStyle w:val="FirstParagraph"/>
      </w:pPr>
      <w:r>
        <w:t xml:space="preserve">Emissions from transporting the product from the factory to the end-customer. The assumed product weight for transport calculations is 0.2 kg/unit.</w:t>
      </w:r>
    </w:p>
    <w:p>
      <w:pPr>
        <w:numPr>
          <w:ilvl w:val="0"/>
          <w:numId w:val="1014"/>
        </w:numPr>
        <w:pStyle w:val="Compact"/>
      </w:pPr>
      <w:r>
        <w:rPr>
          <w:bCs/>
          <w:b/>
        </w:rPr>
        <w:t xml:space="preserve">International Sea Freight (Upstream):</w:t>
      </w:r>
    </w:p>
    <w:p>
      <w:pPr>
        <w:numPr>
          <w:ilvl w:val="1"/>
          <w:numId w:val="1015"/>
        </w:numPr>
        <w:pStyle w:val="Compact"/>
      </w:pPr>
      <w:r>
        <w:t xml:space="preserve">Activity: 0.2 kg/unit * 8,000 km = 1,600 kg.km/unit</w:t>
      </w:r>
    </w:p>
    <w:p>
      <w:pPr>
        <w:numPr>
          <w:ilvl w:val="1"/>
          <w:numId w:val="1015"/>
        </w:numPr>
        <w:pStyle w:val="Compact"/>
      </w:pPr>
      <w:r>
        <w:t xml:space="preserve">Emission Factor (Sea Freight, container ship average): 0.000008 kg CO2e/kg.km (equivalent to 0.008 kg CO2e/tkm)</w:t>
      </w:r>
    </w:p>
    <w:p>
      <w:pPr>
        <w:numPr>
          <w:ilvl w:val="1"/>
          <w:numId w:val="1015"/>
        </w:numPr>
        <w:pStyle w:val="Compact"/>
      </w:pPr>
      <w:r>
        <w:t xml:space="preserve">Emissions: 1,600 kg.km/unit * 0.000008 kg CO2e/kg.km = 0.0128 kg CO2e</w:t>
      </w:r>
    </w:p>
    <w:p>
      <w:pPr>
        <w:numPr>
          <w:ilvl w:val="0"/>
          <w:numId w:val="1014"/>
        </w:numPr>
        <w:pStyle w:val="Compact"/>
      </w:pPr>
      <w:r>
        <w:rPr>
          <w:bCs/>
          <w:b/>
        </w:rPr>
        <w:t xml:space="preserve">Inland Trucking (Downstream):</w:t>
      </w:r>
    </w:p>
    <w:p>
      <w:pPr>
        <w:numPr>
          <w:ilvl w:val="1"/>
          <w:numId w:val="1016"/>
        </w:numPr>
        <w:pStyle w:val="Compact"/>
      </w:pPr>
      <w:r>
        <w:t xml:space="preserve">Activity: 0.2 kg/unit * 500 km = 100 kg.km/unit</w:t>
      </w:r>
    </w:p>
    <w:p>
      <w:pPr>
        <w:numPr>
          <w:ilvl w:val="1"/>
          <w:numId w:val="1016"/>
        </w:numPr>
        <w:pStyle w:val="Compact"/>
      </w:pPr>
      <w:r>
        <w:t xml:space="preserve">Emission Factor (Heavy-duty Truck, Euro VI): 0.00008 kg CO2e/kg.km (equivalent to 0.08 kg CO2e/tkm)</w:t>
      </w:r>
    </w:p>
    <w:p>
      <w:pPr>
        <w:numPr>
          <w:ilvl w:val="1"/>
          <w:numId w:val="1016"/>
        </w:numPr>
        <w:pStyle w:val="Compact"/>
      </w:pPr>
      <w:r>
        <w:t xml:space="preserve">Emissions: 100 kg.km/unit * 0.00008 kg CO2e/kg.km = 0.008 kg CO2e</w:t>
      </w:r>
    </w:p>
    <w:p>
      <w:pPr>
        <w:numPr>
          <w:ilvl w:val="0"/>
          <w:numId w:val="1014"/>
        </w:numPr>
        <w:pStyle w:val="Compact"/>
      </w:pPr>
      <w:r>
        <w:rPr>
          <w:bCs/>
          <w:b/>
        </w:rPr>
        <w:t xml:space="preserve">Last-Mile Delivery (Downstream):</w:t>
      </w:r>
    </w:p>
    <w:p>
      <w:pPr>
        <w:numPr>
          <w:ilvl w:val="1"/>
          <w:numId w:val="1017"/>
        </w:numPr>
        <w:pStyle w:val="Compact"/>
      </w:pPr>
      <w:r>
        <w:t xml:space="preserve">Activity: 0.2 kg/unit * 50 km = 10 kg.km/unit</w:t>
      </w:r>
    </w:p>
    <w:p>
      <w:pPr>
        <w:numPr>
          <w:ilvl w:val="1"/>
          <w:numId w:val="1017"/>
        </w:numPr>
        <w:pStyle w:val="Compact"/>
      </w:pPr>
      <w:r>
        <w:t xml:space="preserve">Emission Factor (Light Commercial Vehicle, parcel delivery approximated): 0.00025 kg CO2e/kg.km (equivalent to 0.25 kg CO2e/tkm for light loads)</w:t>
      </w:r>
    </w:p>
    <w:p>
      <w:pPr>
        <w:numPr>
          <w:ilvl w:val="1"/>
          <w:numId w:val="1017"/>
        </w:numPr>
        <w:pStyle w:val="Compact"/>
      </w:pPr>
      <w:r>
        <w:t xml:space="preserve">Emissions: 10 kg.km/unit * 0.00025 kg CO2e/kg.km = 0.0025 kg CO2e</w:t>
      </w:r>
    </w:p>
    <w:p>
      <w:pPr>
        <w:pStyle w:val="FirstParagraph"/>
      </w:pPr>
      <w:r>
        <w:rPr>
          <w:bCs/>
          <w:b/>
        </w:rPr>
        <w:t xml:space="preserve">Total Emissions from Transportation: 0.0128 + 0.008 + 0.0025 = 0.023 kg CO2e (Scope 3)</w:t>
      </w:r>
    </w:p>
    <w:bookmarkEnd w:id="35"/>
    <w:bookmarkStart w:id="36" w:name="use-phase-scope-3---downstream"/>
    <w:p>
      <w:pPr>
        <w:pStyle w:val="Heading3"/>
      </w:pPr>
      <w:r>
        <w:t xml:space="preserve">3.4. Use Phase (Scope 3 - Downstream)</w:t>
      </w:r>
    </w:p>
    <w:p>
      <w:pPr>
        <w:pStyle w:val="FirstParagraph"/>
      </w:pPr>
      <w:r>
        <w:t xml:space="preserve">Emissions from electricity consumption during the product\'s operational lifespan.</w:t>
      </w:r>
    </w:p>
    <w:p>
      <w:pPr>
        <w:numPr>
          <w:ilvl w:val="0"/>
          <w:numId w:val="1018"/>
        </w:numPr>
        <w:pStyle w:val="Compact"/>
      </w:pPr>
      <w:r>
        <w:t xml:space="preserve">Annual Energy Consumption: 2.5 kWh/year</w:t>
      </w:r>
    </w:p>
    <w:p>
      <w:pPr>
        <w:numPr>
          <w:ilvl w:val="0"/>
          <w:numId w:val="1018"/>
        </w:numPr>
        <w:pStyle w:val="Compact"/>
      </w:pPr>
      <w:r>
        <w:t xml:space="preserve">Product Lifespan: 3 years</w:t>
      </w:r>
    </w:p>
    <w:p>
      <w:pPr>
        <w:numPr>
          <w:ilvl w:val="0"/>
          <w:numId w:val="1018"/>
        </w:numPr>
        <w:pStyle w:val="Compact"/>
      </w:pPr>
      <w:r>
        <w:t xml:space="preserve">Total Energy Consumption over Lifespan: 2.5 kWh/year * 3 years = 7.5 kWh</w:t>
      </w:r>
    </w:p>
    <w:p>
      <w:pPr>
        <w:numPr>
          <w:ilvl w:val="0"/>
          <w:numId w:val="1018"/>
        </w:numPr>
        <w:pStyle w:val="Compact"/>
      </w:pPr>
      <w:r>
        <w:t xml:space="preserve">Emissions from Use Phase: 7.5 kWh * 0.25 kg CO2e/kWh (Average EU Grid Mix) = 1.875 kg CO2e</w:t>
      </w:r>
    </w:p>
    <w:p>
      <w:pPr>
        <w:pStyle w:val="FirstParagraph"/>
      </w:pPr>
      <w:r>
        <w:rPr>
          <w:bCs/>
          <w:b/>
        </w:rPr>
        <w:t xml:space="preserve">Total Emissions from Use Phase: 1.875 kg CO2e (Scope 3)</w:t>
      </w:r>
    </w:p>
    <w:bookmarkEnd w:id="36"/>
    <w:bookmarkStart w:id="37" w:name="end-of-life-eol-scope-3---downstream"/>
    <w:p>
      <w:pPr>
        <w:pStyle w:val="Heading3"/>
      </w:pPr>
      <w:r>
        <w:t xml:space="preserve">3.5. End-of-Life (EoL) (Scope 3 - Downstream)</w:t>
      </w:r>
    </w:p>
    <w:p>
      <w:pPr>
        <w:pStyle w:val="FirstParagraph"/>
      </w:pPr>
      <w:r>
        <w:t xml:space="preserve">Net emissions and avoided emissions from end-of-life treatment. The total product mass for EoL calculations is approximately 0.21 kg (sum of BOM quantities).</w:t>
      </w:r>
    </w:p>
    <w:p>
      <w:pPr>
        <w:numPr>
          <w:ilvl w:val="0"/>
          <w:numId w:val="1019"/>
        </w:numPr>
        <w:pStyle w:val="Compact"/>
      </w:pPr>
      <w:r>
        <w:rPr>
          <w:bCs/>
          <w:b/>
        </w:rPr>
        <w:t xml:space="preserve">Recycling (Avoided Emissions):</w:t>
      </w:r>
    </w:p>
    <w:p>
      <w:pPr>
        <w:numPr>
          <w:ilvl w:val="1"/>
          <w:numId w:val="1020"/>
        </w:numPr>
        <w:pStyle w:val="Compact"/>
      </w:pPr>
      <w:r>
        <w:t xml:space="preserve">Recyclable Mass: 0.21 kg * 65% = 0.1365 kg</w:t>
      </w:r>
    </w:p>
    <w:p>
      <w:pPr>
        <w:numPr>
          <w:ilvl w:val="1"/>
          <w:numId w:val="1020"/>
        </w:numPr>
        <w:pStyle w:val="Compact"/>
      </w:pPr>
      <w:r>
        <w:t xml:space="preserve">Emissions/Avoided Emissions: 0.1365 kg * (-1.5 kg CO2e/kg) = -0.20475 kg CO2e</w:t>
      </w:r>
    </w:p>
    <w:p>
      <w:pPr>
        <w:numPr>
          <w:ilvl w:val="0"/>
          <w:numId w:val="1019"/>
        </w:numPr>
        <w:pStyle w:val="Compact"/>
      </w:pPr>
      <w:r>
        <w:rPr>
          <w:bCs/>
          <w:b/>
        </w:rPr>
        <w:t xml:space="preserve">Incineration with Energy Recovery:</w:t>
      </w:r>
    </w:p>
    <w:p>
      <w:pPr>
        <w:numPr>
          <w:ilvl w:val="1"/>
          <w:numId w:val="1021"/>
        </w:numPr>
        <w:pStyle w:val="Compact"/>
      </w:pPr>
      <w:r>
        <w:t xml:space="preserve">Mass to Incineration: 0.21 kg * 20% = 0.042 kg</w:t>
      </w:r>
    </w:p>
    <w:p>
      <w:pPr>
        <w:numPr>
          <w:ilvl w:val="1"/>
          <w:numId w:val="1021"/>
        </w:numPr>
        <w:pStyle w:val="Compact"/>
      </w:pPr>
      <w:r>
        <w:t xml:space="preserve">Emissions: 0.042 kg * 0.5 kg CO2e/kg = 0.021 kg CO2e</w:t>
      </w:r>
    </w:p>
    <w:p>
      <w:pPr>
        <w:numPr>
          <w:ilvl w:val="0"/>
          <w:numId w:val="1019"/>
        </w:numPr>
        <w:pStyle w:val="Compact"/>
      </w:pPr>
      <w:r>
        <w:rPr>
          <w:bCs/>
          <w:b/>
        </w:rPr>
        <w:t xml:space="preserve">Landfill:</w:t>
      </w:r>
    </w:p>
    <w:p>
      <w:pPr>
        <w:numPr>
          <w:ilvl w:val="1"/>
          <w:numId w:val="1022"/>
        </w:numPr>
        <w:pStyle w:val="Compact"/>
      </w:pPr>
      <w:r>
        <w:t xml:space="preserve">Mass to Landfill: 0.21 kg * 15% = 0.0315 kg</w:t>
      </w:r>
    </w:p>
    <w:p>
      <w:pPr>
        <w:numPr>
          <w:ilvl w:val="1"/>
          <w:numId w:val="1022"/>
        </w:numPr>
        <w:pStyle w:val="Compact"/>
      </w:pPr>
      <w:r>
        <w:t xml:space="preserve">Emissions: 0.0315 kg * 0.2 kg CO2e/kg = 0.0063 kg CO2e</w:t>
      </w:r>
    </w:p>
    <w:p>
      <w:pPr>
        <w:pStyle w:val="FirstParagraph"/>
      </w:pPr>
      <w:r>
        <w:rPr>
          <w:bCs/>
          <w:b/>
        </w:rPr>
        <w:t xml:space="preserve">Total Net Emissions from End-of-Life: -0.20475 + 0.021 + 0.0063 = -0.177 kg CO2e (Scope 3)</w:t>
      </w:r>
    </w:p>
    <w:bookmarkEnd w:id="37"/>
    <w:bookmarkStart w:id="38" w:name="Xdf5c4cefc3271fdcdad6c249f1b19a7ad986017"/>
    <w:p>
      <w:pPr>
        <w:pStyle w:val="Heading3"/>
      </w:pPr>
      <w:r>
        <w:t xml:space="preserve">3.6. Summary of Emissions by Lifecycle Stage and GHG Scope</w:t>
      </w:r>
    </w:p>
    <w:p>
      <w:pPr>
        <w:pStyle w:val="FirstParagraph"/>
      </w:pPr>
      <w:r>
        <w:t xml:space="preserve">The following table summarizes the Product Carbon Footprint for one unit of xnmvgrmemf across its lifecycle stages: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GHG Scope</w:t>
            </w:r>
          </w:p>
        </w:tc>
        <w:tc>
          <w:tcPr/>
          <w:p>
            <w:pPr>
              <w:pStyle w:val="Compact"/>
              <w:jc w:val="left"/>
            </w:pPr>
            <w:r>
              <w:t xml:space="preserve">Percentage of Total PCF</w:t>
            </w:r>
          </w:p>
        </w:tc>
      </w:tr>
      <w:tr>
        <w:tc>
          <w:tcPr/>
          <w:p>
            <w:pPr>
              <w:pStyle w:val="Compact"/>
              <w:jc w:val="left"/>
            </w:pPr>
            <w:r>
              <w:t xml:space="preserve">Raw Material Acquisition &amp; Processing</w:t>
            </w:r>
          </w:p>
        </w:tc>
        <w:tc>
          <w:tcPr/>
          <w:p>
            <w:pPr>
              <w:pStyle w:val="Compact"/>
              <w:jc w:val="left"/>
            </w:pPr>
            <w:r>
              <w:t xml:space="preserve">3.121</w:t>
            </w:r>
          </w:p>
        </w:tc>
        <w:tc>
          <w:tcPr/>
          <w:p>
            <w:pPr>
              <w:pStyle w:val="Compact"/>
              <w:jc w:val="left"/>
            </w:pPr>
            <w:r>
              <w:t xml:space="preserve">Scope 3 (Upstream)</w:t>
            </w:r>
          </w:p>
        </w:tc>
        <w:tc>
          <w:tcPr/>
          <w:p>
            <w:pPr>
              <w:pStyle w:val="Compact"/>
              <w:jc w:val="left"/>
            </w:pPr>
            <w:r>
              <w:t xml:space="preserve">49.4%</w:t>
            </w:r>
          </w:p>
        </w:tc>
      </w:tr>
      <w:tr>
        <w:tc>
          <w:tcPr/>
          <w:p>
            <w:pPr>
              <w:pStyle w:val="Compact"/>
              <w:jc w:val="left"/>
            </w:pPr>
            <w:r>
              <w:t xml:space="preserve">Manufacturing (Energy)</w:t>
            </w:r>
          </w:p>
        </w:tc>
        <w:tc>
          <w:tcPr/>
          <w:p>
            <w:pPr>
              <w:pStyle w:val="Compact"/>
              <w:jc w:val="left"/>
            </w:pPr>
            <w:r>
              <w:t xml:space="preserve">1.470</w:t>
            </w:r>
          </w:p>
        </w:tc>
        <w:tc>
          <w:tcPr/>
          <w:p>
            <w:pPr>
              <w:pStyle w:val="Compact"/>
              <w:jc w:val="left"/>
            </w:pPr>
            <w:r>
              <w:t xml:space="preserve">Scope 2</w:t>
            </w:r>
          </w:p>
        </w:tc>
        <w:tc>
          <w:tcPr/>
          <w:p>
            <w:pPr>
              <w:pStyle w:val="Compact"/>
              <w:jc w:val="left"/>
            </w:pPr>
            <w:r>
              <w:t xml:space="preserve">23.3%</w:t>
            </w:r>
          </w:p>
        </w:tc>
      </w:tr>
      <w:tr>
        <w:tc>
          <w:tcPr/>
          <w:p>
            <w:pPr>
              <w:pStyle w:val="Compact"/>
              <w:jc w:val="left"/>
            </w:pPr>
            <w:r>
              <w:t xml:space="preserve">Transportation (Total)</w:t>
            </w:r>
          </w:p>
        </w:tc>
        <w:tc>
          <w:tcPr/>
          <w:p>
            <w:pPr>
              <w:pStyle w:val="Compact"/>
              <w:jc w:val="left"/>
            </w:pPr>
            <w:r>
              <w:t xml:space="preserve">0.023</w:t>
            </w:r>
          </w:p>
        </w:tc>
        <w:tc>
          <w:tcPr/>
          <w:p>
            <w:pPr>
              <w:pStyle w:val="Compact"/>
              <w:jc w:val="left"/>
            </w:pPr>
            <w:r>
              <w:t xml:space="preserve">Scope 3 (Upstream &amp; Downstream)</w:t>
            </w:r>
          </w:p>
        </w:tc>
        <w:tc>
          <w:tcPr/>
          <w:p>
            <w:pPr>
              <w:pStyle w:val="Compact"/>
              <w:jc w:val="left"/>
            </w:pPr>
            <w:r>
              <w:t xml:space="preserve">0.4%</w:t>
            </w:r>
          </w:p>
        </w:tc>
      </w:tr>
      <w:tr>
        <w:tc>
          <w:tcPr/>
          <w:p>
            <w:pPr>
              <w:pStyle w:val="Compact"/>
              <w:jc w:val="left"/>
            </w:pPr>
            <w:r>
              <w:t xml:space="preserve">Use Phase</w:t>
            </w:r>
          </w:p>
        </w:tc>
        <w:tc>
          <w:tcPr/>
          <w:p>
            <w:pPr>
              <w:pStyle w:val="Compact"/>
              <w:jc w:val="left"/>
            </w:pPr>
            <w:r>
              <w:t xml:space="preserve">1.875</w:t>
            </w:r>
          </w:p>
        </w:tc>
        <w:tc>
          <w:tcPr/>
          <w:p>
            <w:pPr>
              <w:pStyle w:val="Compact"/>
              <w:jc w:val="left"/>
            </w:pPr>
            <w:r>
              <w:t xml:space="preserve">Scope 3 (Downstream)</w:t>
            </w:r>
          </w:p>
        </w:tc>
        <w:tc>
          <w:tcPr/>
          <w:p>
            <w:pPr>
              <w:pStyle w:val="Compact"/>
              <w:jc w:val="left"/>
            </w:pPr>
            <w:r>
              <w:t xml:space="preserve">29.7%</w:t>
            </w:r>
          </w:p>
        </w:tc>
      </w:tr>
      <w:tr>
        <w:tc>
          <w:tcPr/>
          <w:p>
            <w:pPr>
              <w:pStyle w:val="Compact"/>
              <w:jc w:val="left"/>
            </w:pPr>
            <w:r>
              <w:t xml:space="preserve">End-of-Life</w:t>
            </w:r>
          </w:p>
        </w:tc>
        <w:tc>
          <w:tcPr/>
          <w:p>
            <w:pPr>
              <w:pStyle w:val="Compact"/>
              <w:jc w:val="left"/>
            </w:pPr>
            <w:r>
              <w:t xml:space="preserve">-0.177</w:t>
            </w:r>
          </w:p>
        </w:tc>
        <w:tc>
          <w:tcPr/>
          <w:p>
            <w:pPr>
              <w:pStyle w:val="Compact"/>
              <w:jc w:val="left"/>
            </w:pPr>
            <w:r>
              <w:t xml:space="preserve">Scope 3 (Downstream)</w:t>
            </w:r>
          </w:p>
        </w:tc>
        <w:tc>
          <w:tcPr/>
          <w:p>
            <w:pPr>
              <w:pStyle w:val="Compact"/>
              <w:jc w:val="left"/>
            </w:pPr>
            <w:r>
              <w:t xml:space="preserve">-2.8%</w:t>
            </w:r>
          </w:p>
        </w:tc>
      </w:tr>
      <w:tr>
        <w:tc>
          <w:tcPr/>
          <w:p>
            <w:pPr>
              <w:pStyle w:val="Compact"/>
              <w:jc w:val="left"/>
            </w:pPr>
            <w:r>
              <w:t xml:space="preserve">TOTAL PRODUCT CARBON FOOTPRINT (PCF)</w:t>
            </w:r>
          </w:p>
        </w:tc>
        <w:tc>
          <w:tcPr/>
          <w:p>
            <w:pPr>
              <w:pStyle w:val="Compact"/>
              <w:jc w:val="left"/>
            </w:pPr>
            <w:r>
              <w:t xml:space="preserve">6.312</w:t>
            </w:r>
          </w:p>
        </w:tc>
        <w:tc>
          <w:tcPr/>
          <w:p>
            <w:pPr>
              <w:pStyle w:val="Compact"/>
            </w:pPr>
          </w:p>
        </w:tc>
        <w:tc>
          <w:tcPr/>
          <w:p>
            <w:pPr>
              <w:pStyle w:val="Compact"/>
              <w:jc w:val="left"/>
            </w:pPr>
            <w:r>
              <w:t xml:space="preserve">100.0%</w:t>
            </w:r>
          </w:p>
        </w:tc>
      </w:tr>
    </w:tbl>
    <w:p>
      <w:r>
        <w:pict>
          <v:rect style="width:0;height:1.5pt" o:hralign="center" o:hrstd="t" o:hr="t"/>
        </w:pict>
      </w:r>
    </w:p>
    <w:bookmarkEnd w:id="38"/>
    <w:bookmarkEnd w:id="39"/>
    <w:bookmarkStart w:id="45" w:name="review-and-report"/>
    <w:p>
      <w:pPr>
        <w:pStyle w:val="Heading2"/>
      </w:pPr>
      <w:r>
        <w:t xml:space="preserve">4. Review and Report</w:t>
      </w:r>
    </w:p>
    <w:bookmarkStart w:id="40" w:name="total-product-carbon-footprint"/>
    <w:p>
      <w:pPr>
        <w:pStyle w:val="Heading3"/>
      </w:pPr>
      <w:r>
        <w:t xml:space="preserve">4.1. Total Product Carbon Footprint</w:t>
      </w:r>
    </w:p>
    <w:p>
      <w:pPr>
        <w:pStyle w:val="FirstParagraph"/>
      </w:pPr>
      <w:r>
        <w:t xml:space="preserve">The total Product Carbon Footprint (PCF) for one functional unit of xnmvgrmemf is calculated to be **6.312 kg CO2e**.</w:t>
      </w:r>
    </w:p>
    <w:bookmarkEnd w:id="40"/>
    <w:bookmarkStart w:id="41" w:name="hotspots-and-key-contributors"/>
    <w:p>
      <w:pPr>
        <w:pStyle w:val="Heading3"/>
      </w:pPr>
      <w:r>
        <w:t xml:space="preserve">4.2. Hotspots and Key Contributors</w:t>
      </w:r>
    </w:p>
    <w:p>
      <w:pPr>
        <w:pStyle w:val="FirstParagraph"/>
      </w:pPr>
      <w:r>
        <w:t xml:space="preserve">The detailed analysis identifies the following primary hotspots in the product\'s lifecycle, indicating key areas for emission reduction efforts:</w:t>
      </w:r>
    </w:p>
    <w:p>
      <w:pPr>
        <w:numPr>
          <w:ilvl w:val="0"/>
          <w:numId w:val="1023"/>
        </w:numPr>
        <w:pStyle w:val="Compact"/>
      </w:pPr>
      <w:r>
        <w:rPr>
          <w:bCs/>
          <w:b/>
        </w:rPr>
        <w:t xml:space="preserve">Raw Material Acquisition &amp; Processing (49.4%):</w:t>
      </w:r>
      <w:r>
        <w:t xml:space="preserve"> </w:t>
      </w:r>
      <w:r>
        <w:t xml:space="preserve">This stage is the most significant contributor to the overall PCF. The high impact is primarily driven by the production of key electronic components such as the Lithium-ion battery and Printed Circuit Board (PCB), as well as specialized plastics. This highlights the critical importance of exploring sustainable material sourcing, increasing recycled content, and implementing circular design principles early in the product development phase.</w:t>
      </w:r>
    </w:p>
    <w:p>
      <w:pPr>
        <w:numPr>
          <w:ilvl w:val="0"/>
          <w:numId w:val="1023"/>
        </w:numPr>
        <w:pStyle w:val="Compact"/>
      </w:pPr>
      <w:r>
        <w:rPr>
          <w:bCs/>
          <w:b/>
        </w:rPr>
        <w:t xml:space="preserve">Use Phase (29.7%):</w:t>
      </w:r>
      <w:r>
        <w:t xml:space="preserve"> </w:t>
      </w:r>
      <w:r>
        <w:t xml:space="preserve">The energy consumption during the product\'s operational life accounts for a substantial portion of the footprint, even with a relatively short lifespan. This emphasizes the need for continuous innovation in energy-efficient design and the promotion of renewable energy usage by end-users.</w:t>
      </w:r>
    </w:p>
    <w:p>
      <w:pPr>
        <w:numPr>
          <w:ilvl w:val="0"/>
          <w:numId w:val="1023"/>
        </w:numPr>
        <w:pStyle w:val="Compact"/>
      </w:pPr>
      <w:r>
        <w:rPr>
          <w:bCs/>
          <w:b/>
        </w:rPr>
        <w:t xml:space="preserve">Manufacturing (23.3%):</w:t>
      </w:r>
      <w:r>
        <w:t xml:space="preserve"> </w:t>
      </w:r>
      <w:r>
        <w:t xml:space="preserve">Purchased electricity for manufacturing, despite 40% renewable usage, remains a considerable contributor. Further increasing the percentage of renewable energy sourced for production facilities can significantly reduce this impact.</w:t>
      </w:r>
    </w:p>
    <w:p>
      <w:pPr>
        <w:numPr>
          <w:ilvl w:val="0"/>
          <w:numId w:val="1023"/>
        </w:numPr>
        <w:pStyle w:val="Compact"/>
      </w:pPr>
      <w:r>
        <w:rPr>
          <w:bCs/>
          <w:b/>
        </w:rPr>
        <w:t xml:space="preserve">End-of-Life (-2.8%):</w:t>
      </w:r>
      <w:r>
        <w:t xml:space="preserve"> </w:t>
      </w:r>
      <w:r>
        <w:t xml:space="preserve">The EoL phase shows a net negative contribution due to significant avoided emissions from recycling efforts, which partially offset emissions from incineration and landfilling. This validates the positive impact of djoxwdqysx\'s take-back program and the theoretical recyclability of the product. Enhancing collection and recycling rates will further amplify this benefit.</w:t>
      </w:r>
    </w:p>
    <w:p>
      <w:pPr>
        <w:numPr>
          <w:ilvl w:val="0"/>
          <w:numId w:val="1023"/>
        </w:numPr>
        <w:pStyle w:val="Compact"/>
      </w:pPr>
      <w:r>
        <w:rPr>
          <w:bCs/>
          <w:b/>
        </w:rPr>
        <w:t xml:space="preserve">Transportation (0.4%):</w:t>
      </w:r>
      <w:r>
        <w:t xml:space="preserve"> </w:t>
      </w:r>
      <w:r>
        <w:t xml:space="preserve">Logistics contribute a relatively minor portion of the overall footprint for xnmvgrmemf. This suggests that the chosen transport modes and distances are reasonably efficient for the product\'s weight and value, or that the material and use phase impacts are significantly higher.</w:t>
      </w:r>
    </w:p>
    <w:bookmarkEnd w:id="41"/>
    <w:bookmarkStart w:id="42" w:name="data-reliability-and-limitations"/>
    <w:p>
      <w:pPr>
        <w:pStyle w:val="Heading3"/>
      </w:pPr>
      <w:r>
        <w:t xml:space="preserve">4.3. Data Reliability and Limitations</w:t>
      </w:r>
    </w:p>
    <w:p>
      <w:pPr>
        <w:pStyle w:val="FirstParagraph"/>
      </w:pPr>
      <w:r>
        <w:t xml:space="preserve">This report is based on a combination of user-provided parameters, industry-average emission factors (e.g., from public databases comparable to Ecoinvent/DEFRA for upstream processes), and reasonable assumptions for unspecified data points (e.g., specific transport modes, distances, and energy mixes). While every effort has been made to ensure accuracy and strict adherence to the GHG Protocol, the reliability of the results is inherently dependent on the accuracy and granularity of the input data. The use of primary data from specific suppliers and operational sites would further enhance the precision and representativeness of this analysis.</w:t>
      </w:r>
    </w:p>
    <w:bookmarkEnd w:id="42"/>
    <w:bookmarkStart w:id="44" w:name="recommendations-for-emission-reduction"/>
    <w:p>
      <w:pPr>
        <w:pStyle w:val="Heading3"/>
      </w:pPr>
      <w:r>
        <w:t xml:space="preserve">4.4. Recommendations for Emission Reduction</w:t>
      </w:r>
    </w:p>
    <w:p>
      <w:pPr>
        <w:pStyle w:val="FirstParagraph"/>
      </w:pPr>
      <w:r>
        <w:t xml:space="preserve">Based on the PCF analysis, uodzdwhogh provides the following recommendations for djoxwdqysx to reduce the carbon footprint of xnmvgrmemf:</w:t>
      </w:r>
    </w:p>
    <w:p>
      <w:pPr>
        <w:numPr>
          <w:ilvl w:val="0"/>
          <w:numId w:val="1024"/>
        </w:numPr>
        <w:pStyle w:val="Compact"/>
      </w:pPr>
      <w:r>
        <w:rPr>
          <w:bCs/>
          <w:b/>
        </w:rPr>
        <w:t xml:space="preserve">Material Optimization and Circular Design:</w:t>
      </w:r>
      <w:r>
        <w:t xml:space="preserve"> </w:t>
      </w:r>
      <w:r>
        <w:t xml:space="preserve">Prioritize research and development into reducing the material intensity of high-impact components (e.g., battery, PCB, and plastic casing). Explore alternative low-carbon materials, increase the integration of recycled content, and design for disassembly to facilitate easier recycling and repair.</w:t>
      </w:r>
    </w:p>
    <w:p>
      <w:pPr>
        <w:numPr>
          <w:ilvl w:val="0"/>
          <w:numId w:val="1024"/>
        </w:numPr>
        <w:pStyle w:val="Compact"/>
      </w:pPr>
      <w:r>
        <w:rPr>
          <w:bCs/>
          <w:b/>
        </w:rPr>
        <w:t xml:space="preserve">Enhance Energy Efficiency:</w:t>
      </w:r>
      <w:r>
        <w:t xml:space="preserve"> </w:t>
      </w:r>
      <w:r>
        <w:t xml:space="preserve">Continuously improve the energy efficiency of xnmvgrmemf during its use phase through hardware and software optimization. Educate consumers on best practices for energy-conscious use.</w:t>
      </w:r>
    </w:p>
    <w:p>
      <w:pPr>
        <w:numPr>
          <w:ilvl w:val="0"/>
          <w:numId w:val="1024"/>
        </w:numPr>
        <w:pStyle w:val="Compact"/>
      </w:pPr>
      <w:r>
        <w:rPr>
          <w:bCs/>
          <w:b/>
        </w:rPr>
        <w:t xml:space="preserve">Expand Renewable Energy Sourcing:</w:t>
      </w:r>
      <w:r>
        <w:t xml:space="preserve"> </w:t>
      </w:r>
      <w:r>
        <w:t xml:space="preserve">Accelerate efforts to increase the percentage of renewable energy sourced for all manufacturing and operational facilities, aiming for a 100% renewable energy target in the long term.</w:t>
      </w:r>
    </w:p>
    <w:p>
      <w:pPr>
        <w:numPr>
          <w:ilvl w:val="0"/>
          <w:numId w:val="1024"/>
        </w:numPr>
        <w:pStyle w:val="Compact"/>
      </w:pPr>
      <w:r>
        <w:rPr>
          <w:bCs/>
          <w:b/>
        </w:rPr>
        <w:t xml:space="preserve">Strengthen Circularity Initiatives:</w:t>
      </w:r>
      <w:r>
        <w:t xml:space="preserve"> </w:t>
      </w:r>
      <w:r>
        <w:t xml:space="preserve">Further invest in and expand existing take-back programs in all operational markets. Investigate opportunities for remanufacturing or direct reuse of components and whole products to maximize resource value.</w:t>
      </w:r>
    </w:p>
    <w:p>
      <w:pPr>
        <w:numPr>
          <w:ilvl w:val="0"/>
          <w:numId w:val="1024"/>
        </w:numPr>
        <w:pStyle w:val="Compact"/>
      </w:pPr>
      <w:r>
        <w:rPr>
          <w:bCs/>
          <w:b/>
        </w:rPr>
        <w:t xml:space="preserve">Engage Supply Chain Partners:</w:t>
      </w:r>
      <w:r>
        <w:t xml:space="preserve"> </w:t>
      </w:r>
      <w:r>
        <w:t xml:space="preserve">Collaborate actively with upstream suppliers to identify and implement emission reduction strategies within their production processes, particularly for the most carbon-intensive components.</w:t>
      </w:r>
    </w:p>
    <w:p>
      <w:pPr>
        <w:numPr>
          <w:ilvl w:val="0"/>
          <w:numId w:val="1024"/>
        </w:numPr>
        <w:pStyle w:val="Compact"/>
      </w:pPr>
      <w:r>
        <w:rPr>
          <w:bCs/>
          <w:b/>
        </w:rPr>
        <w:t xml:space="preserve">Logistics Optimization:</w:t>
      </w:r>
      <w:r>
        <w:t xml:space="preserve"> </w:t>
      </w:r>
      <w:r>
        <w:t xml:space="preserve">While currently a minor hotspot, continuously monitor and optimize logistics routes, modes, and load factors to ensure the most carbon-efficient delivery methods.</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xnmvgrmemf - djoxwdqysx</dc:title>
  <dc:creator/>
  <dc:description>Detailed Product Carbon Footprint (PCF) analysis report for xnmvgrmemf by djoxwdqysx, conducted by Senior Sustainability Consultant uodzdwhogh, adhering to GHG Protocol standards and 2026 LSR update.</dc:description>
  <dc:language>en</dc:language>
  <cp:keywords/>
  <dcterms:created xsi:type="dcterms:W3CDTF">2026-05-30T16:05:11Z</dcterms:created>
  <dcterms:modified xsi:type="dcterms:W3CDTF">2026-05-30T16:05:11Z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