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xnlvtjzxnm</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xnlvtjzxnm"/>
    <w:p>
      <w:pPr>
        <w:pStyle w:val="Heading1"/>
      </w:pPr>
      <w:r>
        <w:t xml:space="preserve">xnlvtjzxnm</w:t>
      </w:r>
    </w:p>
    <w:p>
      <w:pPr>
        <w:pStyle w:val="FirstParagraph"/>
      </w:pPr>
      <w:r>
        <w:rPr>
          <w:bCs/>
          <w:b/>
        </w:rPr>
        <w:t xml:space="preserve">Company Name:</w:t>
      </w:r>
      <w:r>
        <w:t xml:space="preserve"> </w:t>
      </w:r>
      <w:r>
        <w:t xml:space="preserve">gkzwnsdmli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xlisowkvqg</w:t>
      </w:r>
    </w:p>
    <w:p>
      <w:pPr>
        <w:pStyle w:val="BodyText"/>
      </w:pPr>
      <w:r>
        <w:t xml:space="preserve">Disclaimer: This report is generated based on available data and industry standards,</w:t>
      </w:r>
      <w:r>
        <w:t xml:space="preserve"> </w:t>
      </w:r>
      <w:r>
        <w:t xml:space="preserve">employing specific parameters and illustrative emission factors for demonstration purposes.</w:t>
      </w:r>
      <w:r>
        <w:t xml:space="preserve"> </w:t>
      </w:r>
      <w:r>
        <w:t xml:space="preserve">Actual emissions may vary based on precise, real-world operational data.</w:t>
      </w:r>
    </w:p>
    <w:bookmarkEnd w:id="21"/>
    <w:p>
      <w:pPr>
        <w:pStyle w:val="BodyText"/>
      </w:pPr>
      <w:r>
        <w:t xml:space="preserve">Generated Date: May 18, 2026</w:t>
      </w:r>
    </w:p>
    <w:bookmarkStart w:id="48" w:name="Xe351ca9ab54f3a9398a416705c48bb29348d9a5"/>
    <w:p>
      <w:pPr>
        <w:pStyle w:val="Heading1"/>
      </w:pPr>
      <w:r>
        <w:t xml:space="preserve">Product Carbon Footprint Analysis for xnlvtjzxnm</w:t>
      </w:r>
    </w:p>
    <w:p>
      <w:pPr>
        <w:pStyle w:val="FirstParagraph"/>
      </w:pPr>
      <w:r>
        <w:t xml:space="preserve">This report presents a high-detail Product Carbon Footprint (PCF) analysis for the product</w:t>
      </w:r>
      <w:r>
        <w:t xml:space="preserve"> </w:t>
      </w:r>
      <w:r>
        <w:rPr>
          <w:bCs/>
          <w:b/>
        </w:rPr>
        <w:t xml:space="preserve">xnlvtjzxnm</w:t>
      </w:r>
      <w:r>
        <w:t xml:space="preserve">, conducted on behalf of</w:t>
      </w:r>
      <w:r>
        <w:t xml:space="preserve"> </w:t>
      </w:r>
      <w:r>
        <w:rPr>
          <w:bCs/>
          <w:b/>
        </w:rPr>
        <w:t xml:space="preserve">gkzwnsdmli</w:t>
      </w:r>
      <w:r>
        <w:t xml:space="preserve">. As</w:t>
      </w:r>
      <w:r>
        <w:t xml:space="preserve"> </w:t>
      </w:r>
      <w:r>
        <w:t xml:space="preserve">Senior Sustainability Consultant</w:t>
      </w:r>
      <w:r>
        <w:t xml:space="preserve"> </w:t>
      </w:r>
      <w:r>
        <w:rPr>
          <w:bCs/>
          <w:b/>
        </w:rPr>
        <w:t xml:space="preserve">xlisowkvqg</w:t>
      </w:r>
      <w:r>
        <w:t xml:space="preserve">, specializing in GHG Protocol,</w:t>
      </w:r>
      <w:r>
        <w:t xml:space="preserve"> </w:t>
      </w:r>
      <w:r>
        <w:t xml:space="preserve">this analysis adheres strictly to the GHG Protocol\'s accounting standards, including the</w:t>
      </w:r>
      <w:r>
        <w:t xml:space="preserve"> </w:t>
      </w:r>
      <w:r>
        <w:t xml:space="preserve">latest 2026 updates for the Land Sector and Removals (LSR) Standard and Scope 3 compliance.</w:t>
      </w:r>
      <w:r>
        <w:t xml:space="preserve"> </w:t>
      </w:r>
      <w:r>
        <w:t xml:space="preserve">The objective is to quantify the greenhouse gas (GHG) emissions associated with the entire</w:t>
      </w:r>
      <w:r>
        <w:t xml:space="preserve"> </w:t>
      </w:r>
      <w:r>
        <w:t xml:space="preserve">lifecycle of xnlvtjzxnm, from raw material extraction to end-of-life, providing critical</w:t>
      </w:r>
      <w:r>
        <w:t xml:space="preserve"> </w:t>
      </w:r>
      <w:r>
        <w:t xml:space="preserve">insights for sustainability strategy and reporting.</w:t>
      </w:r>
    </w:p>
    <w:p>
      <w:r>
        <w:pict>
          <v:rect style="width:0;height:1.5pt" o:hralign="center" o:hrstd="t" o:hr="t"/>
        </w:pict>
      </w:r>
    </w:p>
    <w:bookmarkStart w:id="26" w:name="methodology-and-context"/>
    <w:p>
      <w:pPr>
        <w:pStyle w:val="Heading2"/>
      </w:pPr>
      <w:r>
        <w:t xml:space="preserve">1. Methodology and Context</w:t>
      </w:r>
    </w:p>
    <w:p>
      <w:pPr>
        <w:pStyle w:val="FirstParagraph"/>
      </w:pPr>
      <w:r>
        <w:t xml:space="preserve">The Product Carbon Footprint (PCF) analysis for xnlvtjzxnm follows a five-step methodology</w:t>
      </w:r>
      <w:r>
        <w:t xml:space="preserve"> </w:t>
      </w:r>
      <w:r>
        <w:t xml:space="preserve">aligned with the Greenhouse Gas Protocol (GHG Protocol), ensuring comprehensive and</w:t>
      </w:r>
      <w:r>
        <w:t xml:space="preserve"> </w:t>
      </w:r>
      <w:r>
        <w:t xml:space="preserve">standardized reporting.</w:t>
      </w:r>
    </w:p>
    <w:bookmarkStart w:id="22" w:name="ghg-protocol-adherence-scope-definitions"/>
    <w:p>
      <w:pPr>
        <w:pStyle w:val="Heading3"/>
      </w:pPr>
      <w:r>
        <w:t xml:space="preserve">1.1. GHG Protocol Adherence: Scope Definitions</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GHG Emissions</w:t>
      </w:r>
      <w:r>
        <w:t xml:space="preserve"> </w:t>
      </w:r>
      <w:r>
        <w:t xml:space="preserve">– Emissions from sources owned or controlled by gkzwnsdmli. These typically include emissions from fuel combustion in owned vehicles or facilities, and fugitive emissions.</w:t>
      </w:r>
    </w:p>
    <w:p>
      <w:pPr>
        <w:numPr>
          <w:ilvl w:val="0"/>
          <w:numId w:val="1001"/>
        </w:numPr>
        <w:pStyle w:val="Compact"/>
      </w:pPr>
      <w:r>
        <w:rPr>
          <w:bCs/>
          <w:b/>
        </w:rPr>
        <w:t xml:space="preserve">Scope 2: Indirect GHG Emissions from Purchased Energy</w:t>
      </w:r>
      <w:r>
        <w:t xml:space="preserve"> </w:t>
      </w:r>
      <w:r>
        <w:t xml:space="preserve">– Emissions from the generation of purchased electricity, steam, heat, or cooling consumed by gkzwnsdmli.</w:t>
      </w:r>
    </w:p>
    <w:p>
      <w:pPr>
        <w:numPr>
          <w:ilvl w:val="0"/>
          <w:numId w:val="1001"/>
        </w:numPr>
        <w:pStyle w:val="Compact"/>
      </w:pPr>
      <w:r>
        <w:rPr>
          <w:bCs/>
          <w:b/>
        </w:rPr>
        <w:t xml:space="preserve">Scope 3: Other Indirect Emissions (Value Chain Emissions)</w:t>
      </w:r>
      <w:r>
        <w:t xml:space="preserve"> </w:t>
      </w:r>
      <w:r>
        <w:t xml:space="preserve">– All other indirect emissions occurring in the value chain of gkzwnsdmli, both upstream and downstream. These are often the most significant and complex to measure, covering 15 categories such as purchased goods and services, transportation, use of sold products, and end-of-life treatment. This PCF analysis primarily focuses on Scope 3 emissions for the product\'s lifecycle.</w:t>
      </w:r>
    </w:p>
    <w:bookmarkEnd w:id="22"/>
    <w:bookmarkStart w:id="25" w:name="ghg-protocol-updates"/>
    <w:p>
      <w:pPr>
        <w:pStyle w:val="Heading3"/>
      </w:pPr>
      <w:r>
        <w:t xml:space="preserve">1.2. 2026 GHG Protocol Updates</w:t>
      </w:r>
    </w:p>
    <w:bookmarkStart w:id="23" w:name="land-sector-and-removals-lsr-standard"/>
    <w:p>
      <w:pPr>
        <w:pStyle w:val="Heading4"/>
      </w:pPr>
      <w:r>
        <w:t xml:space="preserve">1.2.1. Land Sector and Removals (LSR) Standard</w:t>
      </w:r>
    </w:p>
    <w:p>
      <w:pPr>
        <w:pStyle w:val="FirstParagraph"/>
      </w:pPr>
      <w:r>
        <w:t xml:space="preserve">This analysis applies the GHG Protocol\'s Land Sector and Removals (LSR) Standard, released on January 30, 2026, and effective January 1, 2027. This standard provides the requirements and guidance for accounting and reporting GHG emissions and carbon dioxide removals from land use, land-use change, and agricultural activities. While specifically designed for entities with significant land sector activities, its principles for transparently tracking and reporting carbon removals are incorporated where applicable in the end-of-life scenarios for xnlvtjzxnm. The accompanying guidance document is expected in Q2 2026.</w:t>
      </w:r>
    </w:p>
    <w:bookmarkEnd w:id="23"/>
    <w:bookmarkStart w:id="24" w:name="scope-3-compliance-95-coverage-rule"/>
    <w:p>
      <w:pPr>
        <w:pStyle w:val="Heading4"/>
      </w:pPr>
      <w:r>
        <w:t xml:space="preserve">1.2.2. Scope 3 Compliance (95% Coverage Rule)</w:t>
      </w:r>
    </w:p>
    <w:p>
      <w:pPr>
        <w:pStyle w:val="FirstParagraph"/>
      </w:pPr>
      <w:r>
        <w:t xml:space="preserve">In line with the 2026 GHG Protocol Scope 3 Standard revisions, this report ensures at least 95% coverage for Scope 3 reporting. The updated standard, following a progress update in March 2026, mandates a prescriptive completeness requirement where companies must account for at least 95% of total required Scope 3 emissions. Exclusions must not exceed 5% and must be quantified, disclosed, and justified. This ensures a comprehensive assessment of all relevant value chain emissions. Mandatory data disaggregation by source type (primary vs. secondary) is also a key change, emphasizing data quality.</w:t>
      </w:r>
    </w:p>
    <w:p>
      <w:r>
        <w:pict>
          <v:rect style="width:0;height:1.5pt" o:hralign="center" o:hrstd="t" o:hr="t"/>
        </w:pict>
      </w:r>
    </w:p>
    <w:bookmarkEnd w:id="24"/>
    <w:bookmarkEnd w:id="25"/>
    <w:bookmarkEnd w:id="26"/>
    <w:bookmarkStart w:id="27" w:name="step-1-define-scope"/>
    <w:p>
      <w:pPr>
        <w:pStyle w:val="Heading2"/>
      </w:pPr>
      <w:r>
        <w:t xml:space="preserve">2. Step 1: Define Scope</w:t>
      </w:r>
    </w:p>
    <w:p>
      <w:pPr>
        <w:pStyle w:val="FirstParagraph"/>
      </w:pPr>
      <w:r>
        <w:t xml:space="preserve">The foundational step of this PCF analysis involves clearly defining the parameters that govern the emission calculations.</w:t>
      </w:r>
    </w:p>
    <w:p>
      <w:pPr>
        <w:numPr>
          <w:ilvl w:val="0"/>
          <w:numId w:val="1002"/>
        </w:numPr>
        <w:pStyle w:val="Compact"/>
      </w:pPr>
      <w:r>
        <w:rPr>
          <w:bCs/>
          <w:b/>
        </w:rPr>
        <w:t xml:space="preserve">Product:</w:t>
      </w:r>
      <w:r>
        <w:t xml:space="preserve"> </w:t>
      </w:r>
      <w:r>
        <w:t xml:space="preserve">xnlvtjzxnm</w:t>
      </w:r>
    </w:p>
    <w:p>
      <w:pPr>
        <w:numPr>
          <w:ilvl w:val="0"/>
          <w:numId w:val="1002"/>
        </w:numPr>
        <w:pStyle w:val="Compact"/>
      </w:pPr>
      <w:r>
        <w:rPr>
          <w:bCs/>
          <w:b/>
        </w:rPr>
        <w:t xml:space="preserve">Company:</w:t>
      </w:r>
      <w:r>
        <w:t xml:space="preserve"> </w:t>
      </w:r>
      <w:r>
        <w:t xml:space="preserve">gkzwnsdmli</w:t>
      </w:r>
    </w:p>
    <w:p>
      <w:pPr>
        <w:numPr>
          <w:ilvl w:val="0"/>
          <w:numId w:val="1002"/>
        </w:numPr>
        <w:pStyle w:val="Compact"/>
      </w:pPr>
      <w:r>
        <w:rPr>
          <w:bCs/>
          <w:b/>
        </w:rPr>
        <w:t xml:space="preserve">Functional Unit:</w:t>
      </w:r>
      <w:r>
        <w:t xml:space="preserve"> </w:t>
      </w:r>
      <w:r>
        <w:t xml:space="preserve">1.0 unit (This represents the quantified performance of the product system for use as a reference unit.)</w:t>
      </w:r>
    </w:p>
    <w:p>
      <w:pPr>
        <w:numPr>
          <w:ilvl w:val="0"/>
          <w:numId w:val="1002"/>
        </w:numPr>
        <w:pStyle w:val="Compact"/>
      </w:pPr>
      <w:r>
        <w:rPr>
          <w:bCs/>
          <w:b/>
        </w:rPr>
        <w:t xml:space="preserve">System Boundary:</w:t>
      </w:r>
      <w:r>
        <w:t xml:space="preserve"> </w:t>
      </w:r>
      <w:r>
        <w:t xml:space="preserve">factory_gate (This \'cradle-to-gate\' boundary encompasses all emissions from raw material extraction and processing, through manufacturing processes, up to the point where the finished product leaves the factory gate. It excludes the use phase and end-of-life, which are addressed separately in this high-detail analysis as per user requirements for a comprehensive PCF.)</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Emissions from shared processes (e.g., utility generation) are allocated on a mass-basis where applicable, ensuring environmental burdens are appropriately distributed across co-products.</w:t>
      </w:r>
    </w:p>
    <w:p>
      <w:r>
        <w:pict>
          <v:rect style="width:0;height:1.5pt" o:hralign="center" o:hrstd="t" o:hr="t"/>
        </w:pict>
      </w:r>
    </w:p>
    <w:bookmarkEnd w:id="27"/>
    <w:bookmarkStart w:id="33" w:name="step-2-3-map-lifecycle-and-collect-data"/>
    <w:p>
      <w:pPr>
        <w:pStyle w:val="Heading2"/>
      </w:pPr>
      <w:r>
        <w:t xml:space="preserve">3. Step 2 &amp; 3: Map Lifecycle and Collect Data</w:t>
      </w:r>
    </w:p>
    <w:p>
      <w:pPr>
        <w:pStyle w:val="FirstParagraph"/>
      </w:pPr>
      <w:r>
        <w:t xml:space="preserve">This section details the lifecycle stages of xnlvtjzxnm and the data collected, combining the mapping of inventory stages with the identification of primary and secondary data points. Primary data includes specific Bill of Materials (BOM), transport, and energy customization, while secondary data comprises industry-standard emission factors.</w:t>
      </w:r>
    </w:p>
    <w:bookmarkStart w:id="28" w:name="X3b1e901db1f08df7240c6d3a39688aa51989ae7"/>
    <w:p>
      <w:pPr>
        <w:pStyle w:val="Heading3"/>
      </w:pPr>
      <w:r>
        <w:t xml:space="preserve">3.1. Bill of Materials (BOM) Data and Material Inputs (Scope 3, Category 1)</w:t>
      </w:r>
    </w:p>
    <w:p>
      <w:pPr>
        <w:pStyle w:val="FirstParagraph"/>
      </w:pPr>
      <w:r>
        <w:t xml:space="preserve">The detailed BOM (</w:t>
      </w:r>
      <w:r>
        <w:rPr>
          <w:rStyle w:val="VerbatimChar"/>
        </w:rPr>
        <w:t xml:space="preserve">rhvdkywq</w:t>
      </w:r>
      <w:r>
        <w:t xml:space="preserve">) is critical for high-accuracy material impact calculation. The following table outlines the material composition of one unit of xnlvtjzxnm, including specific quantities and illustrative emission factors sourced from Ecoinvent and DEFRA databases where appropriate. These emission factors represent the cradle-to-gate impact of producing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Aluminum Production (primary)</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 (HDPE)</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(assumed kgCO2e/kg for 0.1kg unit)</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Copper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Carton</w:t>
            </w:r>
          </w:p>
        </w:tc>
        <w:tc>
          <w:tcPr/>
          <w:p>
            <w:pPr>
              <w:pStyle w:val="Compact"/>
              <w:jc w:val="left"/>
            </w:pPr>
            <w:r>
              <w:t xml:space="preserve">Paper/Cardboard</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6.16 kgCO2e</w:t>
            </w:r>
          </w:p>
        </w:tc>
      </w:tr>
    </w:tbl>
    <w:p>
      <w:pPr>
        <w:pStyle w:val="BodyText"/>
      </w:pPr>
      <w:r>
        <w:rPr>
          <w:iCs/>
          <w:i/>
        </w:rPr>
        <w:t xml:space="preserve">Note: Emission Factors are illustrative examples based on common industry datasets (e.g., Ecoinvent, DEFRA) for relevant processes and materials.</w:t>
      </w:r>
      <w:r>
        <w:rPr>
          <w:iCs/>
          <w:i/>
        </w:rPr>
        <w:t xml:space="preserve"> </w:t>
      </w:r>
      <w:r>
        <w:rPr>
          <w:iCs/>
          <w:i/>
        </w:rPr>
        <w:t xml:space="preserve">For the Circuit Board, a representative emission factor per kg is used, assuming 0.1 kg per unit.</w:t>
      </w:r>
    </w:p>
    <w:bookmarkEnd w:id="28"/>
    <w:bookmarkStart w:id="29" w:name="production-phase-energy-inputs-scope-1-2"/>
    <w:p>
      <w:pPr>
        <w:pStyle w:val="Heading3"/>
      </w:pPr>
      <w:r>
        <w:t xml:space="preserve">3.2. Production Phase Energy Inputs (Scope 1 &amp; 2)</w:t>
      </w:r>
    </w:p>
    <w:p>
      <w:pPr>
        <w:pStyle w:val="FirstParagraph"/>
      </w:pPr>
      <w:r>
        <w:t xml:space="preserve">The energy consumed during the production of xnlvtjzxnm is a critical input.</w:t>
      </w:r>
    </w:p>
    <w:p>
      <w:pPr>
        <w:numPr>
          <w:ilvl w:val="0"/>
          <w:numId w:val="1004"/>
        </w:numPr>
        <w:pStyle w:val="Compact"/>
      </w:pPr>
      <w:r>
        <w:rPr>
          <w:bCs/>
          <w:b/>
        </w:rPr>
        <w:t xml:space="preserve">Energy Intensity (kWh/unit):</w:t>
      </w:r>
      <w:r>
        <w:t xml:space="preserve"> </w:t>
      </w:r>
      <w:r>
        <w:rPr>
          <w:rStyle w:val="VerbatimChar"/>
        </w:rPr>
        <w:t xml:space="preserve">doxfrplknp</w:t>
      </w:r>
      <w:r>
        <w:t xml:space="preserve"> </w:t>
      </w:r>
      <w:r>
        <w:t xml:space="preserve">= 6.5 kWh/unit</w:t>
      </w:r>
    </w:p>
    <w:p>
      <w:pPr>
        <w:numPr>
          <w:ilvl w:val="0"/>
          <w:numId w:val="1004"/>
        </w:numPr>
        <w:pStyle w:val="Compact"/>
      </w:pPr>
      <w:r>
        <w:rPr>
          <w:bCs/>
          <w:b/>
        </w:rPr>
        <w:t xml:space="preserve">Renewable Energy Usage:</w:t>
      </w:r>
      <w:r>
        <w:t xml:space="preserve"> </w:t>
      </w:r>
      <w:r>
        <w:rPr>
          <w:rStyle w:val="VerbatimChar"/>
        </w:rPr>
        <w:t xml:space="preserve">tswlmnwehj</w:t>
      </w:r>
      <w:r>
        <w:t xml:space="preserve"> </w:t>
      </w:r>
      <w:r>
        <w:t xml:space="preserve">= 75%</w:t>
      </w:r>
    </w:p>
    <w:p>
      <w:pPr>
        <w:pStyle w:val="FirstParagraph"/>
      </w:pPr>
      <w:r>
        <w:t xml:space="preserve">The remaining 25% of energy is assumed to be sourced from the local grid in China. The average grid emission factor for China is estimated to be approximately 0.5 kgCO2e/kWh for 2026, considering the forecast decline in intensity.</w:t>
      </w:r>
    </w:p>
    <w:bookmarkEnd w:id="29"/>
    <w:bookmarkStart w:id="30" w:name="X86d1f5d7de2111bdb24e88f9a3053b87a450324"/>
    <w:p>
      <w:pPr>
        <w:pStyle w:val="Heading3"/>
      </w:pPr>
      <w:r>
        <w:t xml:space="preserve">3.3. Transportation and Logistics (Scope 3, Category 4 &amp; 9)</w:t>
      </w:r>
    </w:p>
    <w:p>
      <w:pPr>
        <w:pStyle w:val="FirstParagraph"/>
      </w:pPr>
      <w:r>
        <w:t xml:space="preserve">Logistics play a significant role in the supply chain footprint.</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 Road Freight (HGV 3.5-7.5t)</w:t>
      </w:r>
    </w:p>
    <w:p>
      <w:pPr>
        <w:numPr>
          <w:ilvl w:val="0"/>
          <w:numId w:val="1005"/>
        </w:numPr>
        <w:pStyle w:val="Compact"/>
      </w:pPr>
      <w:r>
        <w:rPr>
          <w:bCs/>
          <w:b/>
        </w:rPr>
        <w:t xml:space="preserve">Transport Distance:</w:t>
      </w:r>
      <w:r>
        <w:t xml:space="preserve"> </w:t>
      </w:r>
      <w:r>
        <w:rPr>
          <w:rStyle w:val="VerbatimChar"/>
        </w:rPr>
        <w:t xml:space="preserve">mpigrqetsp</w:t>
      </w:r>
      <w:r>
        <w:t xml:space="preserve"> </w:t>
      </w:r>
      <w:r>
        <w:t xml:space="preserve">= 1500 km (average for Europe-focused supply chain)</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 Small Electric Van</w:t>
      </w:r>
    </w:p>
    <w:p>
      <w:pPr>
        <w:pStyle w:val="FirstParagraph"/>
      </w:pPr>
      <w:r>
        <w:t xml:space="preserve">The average weight of one xnlvtjzxnm unit for transport calculations (including packaging) is assumed to be the sum of BOM materials + packaging, approximately 1.2 kg. For calculation, let\'s assume a packed unit weight of 1.5 kg.</w:t>
      </w:r>
    </w:p>
    <w:p>
      <w:pPr>
        <w:numPr>
          <w:ilvl w:val="0"/>
          <w:numId w:val="1006"/>
        </w:numPr>
        <w:pStyle w:val="Compact"/>
      </w:pPr>
      <w:r>
        <w:t xml:space="preserve">Emission Factor Road Freight (HGV 3.5-7.5t): 0.1 kgCO2e/tonne-km</w:t>
      </w:r>
    </w:p>
    <w:p>
      <w:pPr>
        <w:numPr>
          <w:ilvl w:val="0"/>
          <w:numId w:val="1006"/>
        </w:numPr>
        <w:pStyle w:val="Compact"/>
      </w:pPr>
      <w:r>
        <w:t xml:space="preserve">Emission Factor Small Electric Van (Last Mile): 0.05 kgCO2e/tonne-km (assuming grid-based emissions for electricity)</w:t>
      </w:r>
    </w:p>
    <w:p>
      <w:pPr>
        <w:numPr>
          <w:ilvl w:val="0"/>
          <w:numId w:val="1006"/>
        </w:numPr>
        <w:pStyle w:val="Compact"/>
      </w:pPr>
      <w:r>
        <w:t xml:space="preserve">Assumed Last-Mile Distance: 50 km (representative)</w:t>
      </w:r>
    </w:p>
    <w:bookmarkEnd w:id="30"/>
    <w:bookmarkStart w:id="31" w:name="use-phase-data-scope-3-category-11"/>
    <w:p>
      <w:pPr>
        <w:pStyle w:val="Heading3"/>
      </w:pPr>
      <w:r>
        <w:t xml:space="preserve">3.4. Use Phase Data (Scope 3, Category 11)</w:t>
      </w:r>
    </w:p>
    <w:p>
      <w:pPr>
        <w:pStyle w:val="FirstParagraph"/>
      </w:pPr>
      <w:r>
        <w:t xml:space="preserve">The energy consumption during the product\'s use phase is a crucial downstream emission source.</w:t>
      </w:r>
    </w:p>
    <w:p>
      <w:pPr>
        <w:numPr>
          <w:ilvl w:val="0"/>
          <w:numId w:val="1007"/>
        </w:numPr>
        <w:pStyle w:val="Compact"/>
      </w:pPr>
      <w:r>
        <w:rPr>
          <w:bCs/>
          <w:b/>
        </w:rPr>
        <w:t xml:space="preserve">Product Lifespan:</w:t>
      </w:r>
      <w:r>
        <w:t xml:space="preserve"> </w:t>
      </w:r>
      <w:r>
        <w:rPr>
          <w:rStyle w:val="VerbatimChar"/>
        </w:rPr>
        <w:t xml:space="preserve">eizpxgvuff</w:t>
      </w:r>
      <w:r>
        <w:t xml:space="preserve"> </w:t>
      </w:r>
      <w:r>
        <w:t xml:space="preserve">= 7 years</w:t>
      </w:r>
    </w:p>
    <w:p>
      <w:pPr>
        <w:numPr>
          <w:ilvl w:val="0"/>
          <w:numId w:val="1007"/>
        </w:numPr>
        <w:pStyle w:val="Compact"/>
      </w:pPr>
      <w:r>
        <w:rPr>
          <w:bCs/>
          <w:b/>
        </w:rPr>
        <w:t xml:space="preserve">Energy Consumption in Use:</w:t>
      </w:r>
      <w:r>
        <w:t xml:space="preserve"> </w:t>
      </w:r>
      <w:r>
        <w:rPr>
          <w:rStyle w:val="VerbatimChar"/>
        </w:rPr>
        <w:t xml:space="preserve">ospxeofgzh</w:t>
      </w:r>
      <w:r>
        <w:t xml:space="preserve"> </w:t>
      </w:r>
      <w:r>
        <w:t xml:space="preserve">= 12 kWh/year</w:t>
      </w:r>
    </w:p>
    <w:p>
      <w:pPr>
        <w:pStyle w:val="FirstParagraph"/>
      </w:pPr>
      <w:r>
        <w:t xml:space="preserve">Energy for the use phase is assumed to be sourced from a generic European grid mix, with an illustrative emission factor of 0.25 kgCO2e/kWh.</w:t>
      </w:r>
    </w:p>
    <w:bookmarkEnd w:id="31"/>
    <w:bookmarkStart w:id="32" w:name="X3261202975bfccb1283f2bd5fabef2dfdbe9c90"/>
    <w:p>
      <w:pPr>
        <w:pStyle w:val="Heading3"/>
      </w:pPr>
      <w:r>
        <w:t xml:space="preserve">3.5. End-of-Life (EoL) Scenarios (Scope 3, Category 12)</w:t>
      </w:r>
    </w:p>
    <w:p>
      <w:pPr>
        <w:pStyle w:val="FirstParagraph"/>
      </w:pPr>
      <w:r>
        <w:t xml:space="preserve">Circular economy impacts are incorporated into the End-of-Life calculations.</w:t>
      </w:r>
    </w:p>
    <w:p>
      <w:pPr>
        <w:numPr>
          <w:ilvl w:val="0"/>
          <w:numId w:val="1008"/>
        </w:numPr>
        <w:pStyle w:val="Compact"/>
      </w:pPr>
      <w:r>
        <w:rPr>
          <w:bCs/>
          <w:b/>
        </w:rPr>
        <w:t xml:space="preserve">Recyclability Percentage:</w:t>
      </w:r>
      <w:r>
        <w:t xml:space="preserve"> </w:t>
      </w:r>
      <w:r>
        <w:rPr>
          <w:rStyle w:val="VerbatimChar"/>
        </w:rPr>
        <w:t xml:space="preserve">trmsjxprni</w:t>
      </w:r>
      <w:r>
        <w:t xml:space="preserve"> </w:t>
      </w:r>
      <w:r>
        <w:t xml:space="preserve">= 85%</w:t>
      </w:r>
    </w:p>
    <w:p>
      <w:pPr>
        <w:numPr>
          <w:ilvl w:val="0"/>
          <w:numId w:val="1008"/>
        </w:numPr>
        <w:pStyle w:val="Compact"/>
      </w:pPr>
      <w:r>
        <w:rPr>
          <w:bCs/>
          <w:b/>
        </w:rPr>
        <w:t xml:space="preserve">Circular/Take-back Programs:</w:t>
      </w:r>
      <w:r>
        <w:t xml:space="preserve"> </w:t>
      </w:r>
      <w:r>
        <w:rPr>
          <w:rStyle w:val="VerbatimChar"/>
        </w:rPr>
        <w:t xml:space="preserve">gnuqtroghm</w:t>
      </w:r>
      <w:r>
        <w:t xml:space="preserve"> </w:t>
      </w:r>
      <w:r>
        <w:t xml:space="preserve">= Established product take-back and refurbishment program</w:t>
      </w:r>
    </w:p>
    <w:p>
      <w:pPr>
        <w:pStyle w:val="FirstParagraph"/>
      </w:pPr>
      <w:r>
        <w:t xml:space="preserve">A recycling credit for avoided virgin material production will be applied for the recyclable portion. A general waste-to-landfill factor is used for non-recycled content, with an illustrative credit for refurbishment.</w:t>
      </w:r>
    </w:p>
    <w:p>
      <w:r>
        <w:pict>
          <v:rect style="width:0;height:1.5pt" o:hralign="center" o:hrstd="t" o:hr="t"/>
        </w:pict>
      </w:r>
    </w:p>
    <w:bookmarkEnd w:id="32"/>
    <w:bookmarkEnd w:id="33"/>
    <w:bookmarkStart w:id="43" w:name="step-4-calculate-emissions"/>
    <w:p>
      <w:pPr>
        <w:pStyle w:val="Heading2"/>
      </w:pPr>
      <w:r>
        <w:t xml:space="preserve">4. Step 4: Calculate Emissions</w:t>
      </w:r>
    </w:p>
    <w:p>
      <w:pPr>
        <w:pStyle w:val="FirstParagraph"/>
      </w:pPr>
      <w:r>
        <w:t xml:space="preserve">This section presents the quantified GHG emissions for each lifecycle stage of xnlvtjzxnm, categorized according to the GHG Protocol Scopes. All emissions are reported in kilograms of carbon dioxide equivalent (kgCO2e).</w:t>
      </w:r>
    </w:p>
    <w:bookmarkStart w:id="36" w:name="upstream-emissions-scope-3"/>
    <w:p>
      <w:pPr>
        <w:pStyle w:val="Heading3"/>
      </w:pPr>
      <w:r>
        <w:t xml:space="preserve">4.1. Upstream Emissions (Scope 3)</w:t>
      </w:r>
    </w:p>
    <w:bookmarkStart w:id="34" w:name="X057ce896d4a1f837cad62054593f6bf20c2c236"/>
    <w:p>
      <w:pPr>
        <w:pStyle w:val="Heading4"/>
      </w:pPr>
      <w:r>
        <w:t xml:space="preserve">4.1.1. Material Acquisition &amp; Processing (Scope 3, Category 1: Purchased Goods and Services)</w:t>
      </w:r>
    </w:p>
    <w:p>
      <w:pPr>
        <w:pStyle w:val="FirstParagraph"/>
      </w:pPr>
      <w:r>
        <w:t xml:space="preserve">Based on the detailed BOM and illustrative emission factors:</w:t>
      </w:r>
      <w:r>
        <w:t xml:space="preserve"> </w:t>
      </w:r>
      <w:r>
        <w:t xml:space="preserve">Total Material Emissions = 6.16 kgCO2e</w:t>
      </w:r>
    </w:p>
    <w:bookmarkEnd w:id="34"/>
    <w:bookmarkStart w:id="35" w:name="X83c95e17e1e544d407e191e234411bdc0d2add6"/>
    <w:p>
      <w:pPr>
        <w:pStyle w:val="Heading4"/>
      </w:pPr>
      <w:r>
        <w:t xml:space="preserve">4.1.2. Upstream Transportation &amp; Distribution (Scope 3, Category 4)</w:t>
      </w:r>
    </w:p>
    <w:p>
      <w:pPr>
        <w:pStyle w:val="FirstParagraph"/>
      </w:pPr>
      <w:r>
        <w:rPr>
          <w:bCs/>
          <w:b/>
        </w:rPr>
        <w:t xml:space="preserve">Main Transport:</w:t>
      </w:r>
      <w:r>
        <w:t xml:space="preserve"> </w:t>
      </w:r>
      <w:r>
        <w:t xml:space="preserve">Product Weight (assumed) = 1.5 kg = 0.0015 tonnes</w:t>
      </w:r>
      <w:r>
        <w:t xml:space="preserve"> </w:t>
      </w:r>
      <w:r>
        <w:t xml:space="preserve">Distance = 1500 km</w:t>
      </w:r>
      <w:r>
        <w:t xml:space="preserve"> </w:t>
      </w:r>
      <w:r>
        <w:t xml:space="preserve">Emission Factor = 0.1 kgCO2e/tonne-km</w:t>
      </w:r>
      <w:r>
        <w:t xml:space="preserve"> </w:t>
      </w:r>
      <w:r>
        <w:t xml:space="preserve">Emissions = 0.0015 tonnes * 1500 km * 0.1 kgCO2e/tonne-km = 0.225 kgCO2e</w:t>
      </w:r>
    </w:p>
    <w:p>
      <w:pPr>
        <w:pStyle w:val="BodyText"/>
      </w:pPr>
      <w:r>
        <w:rPr>
          <w:bCs/>
          <w:b/>
        </w:rPr>
        <w:t xml:space="preserve">Last-Mile Delivery:</w:t>
      </w:r>
      <w:r>
        <w:t xml:space="preserve"> </w:t>
      </w:r>
      <w:r>
        <w:t xml:space="preserve">Product Weight (assumed) = 1.5 kg = 0.0015 tonnes</w:t>
      </w:r>
      <w:r>
        <w:t xml:space="preserve"> </w:t>
      </w:r>
      <w:r>
        <w:t xml:space="preserve">Distance = 50 km</w:t>
      </w:r>
      <w:r>
        <w:t xml:space="preserve"> </w:t>
      </w:r>
      <w:r>
        <w:t xml:space="preserve">Emission Factor = 0.05 kgCO2e/tonne-km</w:t>
      </w:r>
      <w:r>
        <w:t xml:space="preserve"> </w:t>
      </w:r>
      <w:r>
        <w:t xml:space="preserve">Emissions = 0.0015 tonnes * 50 km * 0.05 kgCO2e/tonne-km = 0.00375 kgCO2e</w:t>
      </w:r>
    </w:p>
    <w:p>
      <w:pPr>
        <w:pStyle w:val="BodyText"/>
      </w:pPr>
      <w:r>
        <w:t xml:space="preserve">Total Upstream Transportation Emissions = 0.225 + 0.00375 = 0.22875 kgCO2e</w:t>
      </w:r>
    </w:p>
    <w:bookmarkEnd w:id="35"/>
    <w:bookmarkEnd w:id="36"/>
    <w:bookmarkStart w:id="38" w:name="core-operations-emissions-scope-1-2"/>
    <w:p>
      <w:pPr>
        <w:pStyle w:val="Heading3"/>
      </w:pPr>
      <w:r>
        <w:t xml:space="preserve">4.2. Core Operations Emissions (Scope 1 &amp; 2)</w:t>
      </w:r>
    </w:p>
    <w:bookmarkStart w:id="37" w:name="X48461fcef9b1159567802230966c46ffbf9c8b8"/>
    <w:p>
      <w:pPr>
        <w:pStyle w:val="Heading4"/>
      </w:pPr>
      <w:r>
        <w:t xml:space="preserve">4.2.1. Manufacturing Energy (Scope 2: Purchased Electricity)</w:t>
      </w:r>
    </w:p>
    <w:p>
      <w:pPr>
        <w:pStyle w:val="FirstParagraph"/>
      </w:pPr>
      <w:r>
        <w:t xml:space="preserve">Total Energy Intensity = 6.5 kWh/unit</w:t>
      </w:r>
      <w:r>
        <w:t xml:space="preserve"> </w:t>
      </w:r>
      <w:r>
        <w:t xml:space="preserve">Renewable Energy Usage = 75%</w:t>
      </w:r>
      <w:r>
        <w:t xml:space="preserve"> </w:t>
      </w:r>
      <w:r>
        <w:t xml:space="preserve">Non-renewable Energy from Grid = 6.5 kWh/unit * (1 - 0.75) = 1.625 kWh/unit</w:t>
      </w:r>
      <w:r>
        <w:t xml:space="preserve"> </w:t>
      </w:r>
      <w:r>
        <w:t xml:space="preserve">China Grid Emission Factor = 0.5 kgCO2e/kWh</w:t>
      </w:r>
      <w:r>
        <w:t xml:space="preserve"> </w:t>
      </w:r>
      <w:r>
        <w:t xml:space="preserve">Manufacturing Energy Emissions (Scope 2) = 1.625 kWh/unit * 0.5 kgCO2e/kWh = 0.8125 kgCO2e</w:t>
      </w:r>
    </w:p>
    <w:p>
      <w:pPr>
        <w:pStyle w:val="BodyText"/>
      </w:pPr>
      <w:r>
        <w:rPr>
          <w:iCs/>
          <w:i/>
        </w:rPr>
        <w:t xml:space="preserve">Note: No Scope 1 (direct fuel combustion) emissions are assumed in the factory gate boundary for this analysis based on provided parameters, only purchased electricity.</w:t>
      </w:r>
    </w:p>
    <w:bookmarkEnd w:id="37"/>
    <w:bookmarkEnd w:id="38"/>
    <w:bookmarkStart w:id="41" w:name="downstream-emissions-scope-3"/>
    <w:p>
      <w:pPr>
        <w:pStyle w:val="Heading3"/>
      </w:pPr>
      <w:r>
        <w:t xml:space="preserve">4.3. Downstream Emissions (Scope 3)</w:t>
      </w:r>
    </w:p>
    <w:bookmarkStart w:id="39" w:name="Xc8d47610e025d3b1fe367d676386ecee874efa3"/>
    <w:p>
      <w:pPr>
        <w:pStyle w:val="Heading4"/>
      </w:pPr>
      <w:r>
        <w:t xml:space="preserve">4.3.1. Use Phase (Scope 3, Category 11: Use of Sold Products)</w:t>
      </w:r>
    </w:p>
    <w:p>
      <w:pPr>
        <w:pStyle w:val="FirstParagraph"/>
      </w:pPr>
      <w:r>
        <w:t xml:space="preserve">Product Lifespan = 7 years</w:t>
      </w:r>
      <w:r>
        <w:t xml:space="preserve"> </w:t>
      </w:r>
      <w:r>
        <w:t xml:space="preserve">Energy Consumption in Use = 12 kWh/year</w:t>
      </w:r>
      <w:r>
        <w:t xml:space="preserve"> </w:t>
      </w:r>
      <w:r>
        <w:t xml:space="preserve">European Grid Emission Factor (illustrative) = 0.25 kgCO2e/kWh</w:t>
      </w:r>
      <w:r>
        <w:t xml:space="preserve"> </w:t>
      </w:r>
      <w:r>
        <w:t xml:space="preserve">Total Use Phase Emissions = 7 years * 12 kWh/year * 0.25 kgCO2e/kWh = 21.0 kgCO2e</w:t>
      </w:r>
    </w:p>
    <w:bookmarkEnd w:id="39"/>
    <w:bookmarkStart w:id="40" w:name="X00103e6ba7abe8d5263ba73086dccce71b32206"/>
    <w:p>
      <w:pPr>
        <w:pStyle w:val="Heading4"/>
      </w:pPr>
      <w:r>
        <w:t xml:space="preserve">4.3.2. End-of-Life Treatment (Scope 3, Category 12: End-of-Life Treatment of Sold Products)</w:t>
      </w:r>
    </w:p>
    <w:p>
      <w:pPr>
        <w:pStyle w:val="FirstParagraph"/>
      </w:pPr>
      <w:r>
        <w:t xml:space="preserve">Total Product Weight = 1.5 kg (assumed, including packaging)</w:t>
      </w:r>
      <w:r>
        <w:t xml:space="preserve"> </w:t>
      </w:r>
      <w:r>
        <w:t xml:space="preserve">Recyclability Percentage = 85%</w:t>
      </w:r>
      <w:r>
        <w:t xml:space="preserve"> </w:t>
      </w:r>
      <w:r>
        <w:t xml:space="preserve">Non-Recyclable Waste = 1.5 kg * (1 - 0.85) = 0.225 kg</w:t>
      </w:r>
      <w:r>
        <w:t xml:space="preserve"> </w:t>
      </w:r>
      <w:r>
        <w:t xml:space="preserve">Recycled Material = 1.5 kg * 0.85 = 1.275 kg</w:t>
      </w:r>
    </w:p>
    <w:p>
      <w:pPr>
        <w:pStyle w:val="BodyText"/>
      </w:pPr>
      <w:r>
        <w:rPr>
          <w:bCs/>
          <w:b/>
        </w:rPr>
        <w:t xml:space="preserve">Emissions from Non-Recyclable Waste:</w:t>
      </w:r>
      <w:r>
        <w:t xml:space="preserve"> </w:t>
      </w:r>
      <w:r>
        <w:t xml:space="preserve">Illustrative Emission Factor for Landfill/Incineration (e.g., plastics, electronics) = 1.5 kgCO2e/kg (simplified)</w:t>
      </w:r>
      <w:r>
        <w:t xml:space="preserve"> </w:t>
      </w:r>
      <w:r>
        <w:t xml:space="preserve">Emissions = 0.225 kg * 1.5 kgCO2e/kg = 0.3375 kgCO2e</w:t>
      </w:r>
    </w:p>
    <w:p>
      <w:pPr>
        <w:pStyle w:val="BodyText"/>
      </w:pPr>
      <w:r>
        <w:rPr>
          <w:bCs/>
          <w:b/>
        </w:rPr>
        <w:t xml:space="preserve">Recycling Credit:</w:t>
      </w:r>
      <w:r>
        <w:t xml:space="preserve"> </w:t>
      </w:r>
      <w:r>
        <w:t xml:space="preserve">Assuming a take-back program for refurbishment and material recovery (</w:t>
      </w:r>
      <w:r>
        <w:rPr>
          <w:rStyle w:val="VerbatimChar"/>
        </w:rPr>
        <w:t xml:space="preserve">gnuqtroghm</w:t>
      </w:r>
      <w:r>
        <w:t xml:space="preserve">). A credit for avoided virgin material production is applied for the recycled portion.</w:t>
      </w:r>
      <w:r>
        <w:t xml:space="preserve"> </w:t>
      </w:r>
      <w:r>
        <w:t xml:space="preserve">Illustrative Recycling Credit Factor = -0.5 kgCO2e/kg</w:t>
      </w:r>
      <w:r>
        <w:t xml:space="preserve"> </w:t>
      </w:r>
      <w:r>
        <w:t xml:space="preserve">Credit = 1.275 kg * -0.5 kgCO2e/kg = -0.6375 kgCO2e</w:t>
      </w:r>
    </w:p>
    <w:p>
      <w:pPr>
        <w:pStyle w:val="BodyText"/>
      </w:pPr>
      <w:r>
        <w:t xml:space="preserve">Total End-of-Life Emissions = 0.3375 kgCO2e + (-0.6375 kgCO2e) = -0.3 kgCO2e (Net credit)</w:t>
      </w:r>
    </w:p>
    <w:bookmarkEnd w:id="40"/>
    <w:bookmarkEnd w:id="41"/>
    <w:bookmarkStart w:id="42" w:name="X9b8f96e5fd6ec30b02c91cc11d45f1568d9808c"/>
    <w:p>
      <w:pPr>
        <w:pStyle w:val="Heading3"/>
      </w:pPr>
      <w:r>
        <w:t xml:space="preserve">4.4. Summary of Emissions by Scope and Lifecycle Stage</w:t>
      </w:r>
    </w:p>
    <w:p>
      <w:pPr>
        <w:pStyle w:val="FirstParagraph"/>
      </w:pPr>
      <w:r>
        <w:t xml:space="preserve">The following table summarizes the calculated Product Carbon Footprint for xnlvtjzxnm.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6.160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0.229</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6.389</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0.813</w:t>
            </w:r>
          </w:p>
        </w:tc>
      </w:tr>
      <w:tr>
        <w:tc>
          <w:tcPr/>
          <w:p>
            <w:pPr>
              <w:pStyle w:val="Compact"/>
              <w:jc w:val="left"/>
            </w:pPr>
            <w:r>
              <w:rPr>
                <w:bCs/>
                <w:b/>
              </w:rPr>
              <w:t xml:space="preserve">Subtotal Core Operations (Scope 2)</w:t>
            </w:r>
          </w:p>
        </w:tc>
        <w:tc>
          <w:tcPr/>
          <w:p>
            <w:pPr>
              <w:pStyle w:val="Compact"/>
            </w:pPr>
          </w:p>
        </w:tc>
        <w:tc>
          <w:tcPr/>
          <w:p>
            <w:pPr>
              <w:pStyle w:val="Compact"/>
              <w:jc w:val="left"/>
            </w:pPr>
            <w:r>
              <w:rPr>
                <w:bCs/>
                <w:b/>
              </w:rPr>
              <w:t xml:space="preserve">0.813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-0.300</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20.700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27.902 kgCO2e</w:t>
            </w:r>
          </w:p>
        </w:tc>
      </w:tr>
    </w:tbl>
    <w:p>
      <w:r>
        <w:pict>
          <v:rect style="width:0;height:1.5pt" o:hralign="center" o:hrstd="t" o:hr="t"/>
        </w:pict>
      </w:r>
    </w:p>
    <w:bookmarkEnd w:id="42"/>
    <w:bookmarkEnd w:id="43"/>
    <w:bookmarkStart w:id="47" w:name="step-5-review-report"/>
    <w:p>
      <w:pPr>
        <w:pStyle w:val="Heading2"/>
      </w:pPr>
      <w:r>
        <w:t xml:space="preserve">5. Step 5: Review &amp; Report</w:t>
      </w:r>
    </w:p>
    <w:bookmarkStart w:id="44" w:name="emission-hotspots"/>
    <w:p>
      <w:pPr>
        <w:pStyle w:val="Heading3"/>
      </w:pPr>
      <w:r>
        <w:t xml:space="preserve">5.1. Emission Hotspots</w:t>
      </w:r>
    </w:p>
    <w:p>
      <w:pPr>
        <w:pStyle w:val="FirstParagraph"/>
      </w:pPr>
      <w:r>
        <w:t xml:space="preserve">The analysis identifies the following key emission hotspots for xnlvtjzxnm:</w:t>
      </w:r>
    </w:p>
    <w:p>
      <w:pPr>
        <w:numPr>
          <w:ilvl w:val="0"/>
          <w:numId w:val="1009"/>
        </w:numPr>
        <w:pStyle w:val="Compact"/>
      </w:pPr>
      <w:r>
        <w:rPr>
          <w:bCs/>
          <w:b/>
        </w:rPr>
        <w:t xml:space="preserve">Use Phase (21.00 kgCO2e):</w:t>
      </w:r>
      <w:r>
        <w:t xml:space="preserve"> </w:t>
      </w:r>
      <w:r>
        <w:t xml:space="preserve">This stage represents the most significant contributor to the product\'s overall carbon footprint, accounting for approximately 75% of total emissions. This is primarily due to the energy consumption over the product\'s 7-year lifespan.</w:t>
      </w:r>
    </w:p>
    <w:p>
      <w:pPr>
        <w:numPr>
          <w:ilvl w:val="0"/>
          <w:numId w:val="1009"/>
        </w:numPr>
        <w:pStyle w:val="Compact"/>
      </w:pPr>
      <w:r>
        <w:rPr>
          <w:bCs/>
          <w:b/>
        </w:rPr>
        <w:t xml:space="preserve">Material Acquisition &amp; Processing (6.16 kgCO2e):</w:t>
      </w:r>
      <w:r>
        <w:t xml:space="preserve"> </w:t>
      </w:r>
      <w:r>
        <w:t xml:space="preserve">Constituting about 22% of the total footprint, the extraction and processing of raw materials, particularly the aluminum casing and circuit board, are substantial contributors.</w:t>
      </w:r>
    </w:p>
    <w:p>
      <w:pPr>
        <w:numPr>
          <w:ilvl w:val="0"/>
          <w:numId w:val="1009"/>
        </w:numPr>
        <w:pStyle w:val="Compact"/>
      </w:pPr>
      <w:r>
        <w:rPr>
          <w:bCs/>
          <w:b/>
        </w:rPr>
        <w:t xml:space="preserve">Manufacturing Energy (0.813 kgCO2e):</w:t>
      </w:r>
      <w:r>
        <w:t xml:space="preserve"> </w:t>
      </w:r>
      <w:r>
        <w:t xml:space="preserve">While gkzwnsdmli utilizes 75% renewable energy, the remaining grid electricity in China still contributes a notable portion to the core operations footprint.</w:t>
      </w:r>
    </w:p>
    <w:p>
      <w:pPr>
        <w:pStyle w:val="FirstParagraph"/>
      </w:pPr>
      <w:r>
        <w:t xml:space="preserve">Upstream transportation and end-of-life treatment, particularly with the benefit of the take-back program and high recyclability, have comparatively smaller impacts.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BOM, production energy, and logistics, combined with established secondary emission factors from reputable databases like Ecoinvent and DEFRA. However, certain limitations should be acknowledged:</w:t>
      </w:r>
    </w:p>
    <w:p>
      <w:pPr>
        <w:numPr>
          <w:ilvl w:val="0"/>
          <w:numId w:val="1010"/>
        </w:numPr>
        <w:pStyle w:val="Compact"/>
      </w:pPr>
      <w:r>
        <w:rPr>
          <w:bCs/>
          <w:b/>
        </w:rPr>
        <w:t xml:space="preserve">Illustrative Emission Factors:</w:t>
      </w:r>
      <w:r>
        <w:t xml:space="preserve"> </w:t>
      </w:r>
      <w:r>
        <w:t xml:space="preserve">While based on industry standards, the specific emission factors used are illustrative examples. Real-world, supplier-specific emission factors would further enhance accuracy.</w:t>
      </w:r>
    </w:p>
    <w:p>
      <w:pPr>
        <w:numPr>
          <w:ilvl w:val="0"/>
          <w:numId w:val="1010"/>
        </w:numPr>
        <w:pStyle w:val="Compact"/>
      </w:pPr>
      <w:r>
        <w:rPr>
          <w:bCs/>
          <w:b/>
        </w:rPr>
        <w:t xml:space="preserve">Simplified EoL Scenarios:</w:t>
      </w:r>
      <w:r>
        <w:t xml:space="preserve"> </w:t>
      </w:r>
      <w:r>
        <w:t xml:space="preserve">The recycling credit and waste emissions are generalized. A more detailed EoL assessment would consider specific material recycling efficiencies and regional waste management infrastructure.</w:t>
      </w:r>
    </w:p>
    <w:p>
      <w:pPr>
        <w:numPr>
          <w:ilvl w:val="0"/>
          <w:numId w:val="1010"/>
        </w:numPr>
        <w:pStyle w:val="Compact"/>
      </w:pPr>
      <w:r>
        <w:rPr>
          <w:bCs/>
          <w:b/>
        </w:rPr>
        <w:t xml:space="preserve">Data Gaps:</w:t>
      </w:r>
      <w:r>
        <w:t xml:space="preserve"> </w:t>
      </w:r>
      <w:r>
        <w:t xml:space="preserve">The \'factory_gate\' boundary for manufacturing emissions assumes no Scope 1 direct emissions from fuel combustion; if such activities exist, they would need to be quantified.</w:t>
      </w:r>
    </w:p>
    <w:p>
      <w:pPr>
        <w:numPr>
          <w:ilvl w:val="0"/>
          <w:numId w:val="1010"/>
        </w:numPr>
        <w:pStyle w:val="Compact"/>
      </w:pPr>
      <w:r>
        <w:rPr>
          <w:bCs/>
          <w:b/>
        </w:rPr>
        <w:t xml:space="preserve">Geographic Specificity of Factors:</w:t>
      </w:r>
      <w:r>
        <w:t xml:space="preserve"> </w:t>
      </w:r>
      <w:r>
        <w:t xml:space="preserve">While efforts were made to align factors with the "Europe Focused" supply chain and "China" production, some generic global/European average factors were used due to data availability.</w:t>
      </w:r>
    </w:p>
    <w:bookmarkEnd w:id="45"/>
    <w:bookmarkStart w:id="46" w:name="recommendations-for-improvement"/>
    <w:p>
      <w:pPr>
        <w:pStyle w:val="Heading3"/>
      </w:pPr>
      <w:r>
        <w:t xml:space="preserve">5.3. Recommendations for Improvement</w:t>
      </w:r>
    </w:p>
    <w:p>
      <w:pPr>
        <w:pStyle w:val="FirstParagraph"/>
      </w:pPr>
      <w:r>
        <w:t xml:space="preserve">To further reduce the carbon footprint of xnlvtjzxnm and enhance future PCF analyses, gkzwnsdmli should consider:</w:t>
      </w:r>
    </w:p>
    <w:p>
      <w:pPr>
        <w:numPr>
          <w:ilvl w:val="0"/>
          <w:numId w:val="1011"/>
        </w:numPr>
        <w:pStyle w:val="Compact"/>
      </w:pPr>
      <w:r>
        <w:rPr>
          <w:bCs/>
          <w:b/>
        </w:rPr>
        <w:t xml:space="preserve">Optimizing Use Phase Energy Efficiency:</w:t>
      </w:r>
      <w:r>
        <w:t xml:space="preserve"> </w:t>
      </w:r>
      <w:r>
        <w:t xml:space="preserve">Redesigning xnlvtjzxnm to reduce its annual energy consumption is the most impactful opportunity. Exploring lower-power components or implementing energy-saving modes.</w:t>
      </w:r>
    </w:p>
    <w:p>
      <w:pPr>
        <w:numPr>
          <w:ilvl w:val="0"/>
          <w:numId w:val="1011"/>
        </w:numPr>
        <w:pStyle w:val="Compact"/>
      </w:pPr>
      <w:r>
        <w:rPr>
          <w:bCs/>
          <w:b/>
        </w:rPr>
        <w:t xml:space="preserve">Enhancing Material Circularity:</w:t>
      </w:r>
      <w:r>
        <w:t xml:space="preserve"> </w:t>
      </w:r>
      <w:r>
        <w:t xml:space="preserve">Investigating opportunities to incorporate more recycled content into the aluminum casing and plastic enclosure, or exploring bio-based alternatives with lower footprints.</w:t>
      </w:r>
    </w:p>
    <w:p>
      <w:pPr>
        <w:numPr>
          <w:ilvl w:val="0"/>
          <w:numId w:val="1011"/>
        </w:numPr>
        <w:pStyle w:val="Compact"/>
      </w:pPr>
      <w:r>
        <w:rPr>
          <w:bCs/>
          <w:b/>
        </w:rPr>
        <w:t xml:space="preserve">Decarbonizing Manufacturing:</w:t>
      </w:r>
      <w:r>
        <w:t xml:space="preserve"> </w:t>
      </w:r>
      <w:r>
        <w:t xml:space="preserve">While 75% renewable energy is commendable, exploring options to achieve 100% renewable energy for production in China would eliminate Scope 2 emissions entirely.</w:t>
      </w:r>
    </w:p>
    <w:p>
      <w:pPr>
        <w:numPr>
          <w:ilvl w:val="0"/>
          <w:numId w:val="1011"/>
        </w:numPr>
        <w:pStyle w:val="Compact"/>
      </w:pPr>
      <w:r>
        <w:rPr>
          <w:bCs/>
          <w:b/>
        </w:rPr>
        <w:t xml:space="preserve">Supplier Engagement for Primary Data:</w:t>
      </w:r>
      <w:r>
        <w:t xml:space="preserve"> </w:t>
      </w:r>
      <w:r>
        <w:t xml:space="preserve">Collaborating with upstream suppliers to gather product-specific primary data for materials and components will significantly improve the accuracy of Scope 3, Category 1 emissions.</w:t>
      </w:r>
    </w:p>
    <w:p>
      <w:pPr>
        <w:numPr>
          <w:ilvl w:val="0"/>
          <w:numId w:val="1011"/>
        </w:numPr>
        <w:pStyle w:val="Compact"/>
      </w:pPr>
      <w:r>
        <w:rPr>
          <w:bCs/>
          <w:b/>
        </w:rPr>
        <w:t xml:space="preserve">Expanding Circular Programs:</w:t>
      </w:r>
      <w:r>
        <w:t xml:space="preserve"> </w:t>
      </w:r>
      <w:r>
        <w:t xml:space="preserve">Further developing the take-back and refurbishment program to extend product lifespans and maximize material recovery, potentially exploring closed-loop recycling systems.</w:t>
      </w:r>
    </w:p>
    <w:p>
      <w:r>
        <w:pict>
          <v:rect style="width:0;height:1.5pt" o:hralign="center" o:hrstd="t" o:hr="t"/>
        </w:pict>
      </w:r>
    </w:p>
    <w:p>
      <w:pPr>
        <w:pStyle w:val="FirstParagraph"/>
      </w:pPr>
      <w:r>
        <w:t xml:space="preserve">Confidential - Internal Use Only | Page 1 of X</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xnlvtjzxnm</dc:title>
  <dc:creator/>
  <dc:description>High-detail Product Carbon Footprint (PCF) analysis for xnlvtjzxnm by gkzwnsdmli, specializing in GHG Protocol.</dc:description>
  <dc:language>en</dc:language>
  <cp:keywords/>
  <dcterms:created xsi:type="dcterms:W3CDTF">2026-07-15T15:44:08Z</dcterms:created>
  <dcterms:modified xsi:type="dcterms:W3CDTF">2026-07-15T15:44:08Z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