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xmzsplkdol</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xmzsplkdol</w:t>
      </w:r>
    </w:p>
    <w:p>
      <w:pPr>
        <w:pStyle w:val="BodyText"/>
      </w:pPr>
      <w:r>
        <w:t xml:space="preserve">Company: jqgndpgjuq</w:t>
      </w:r>
    </w:p>
    <w:p>
      <w:pPr>
        <w:pStyle w:val="BodyText"/>
      </w:pPr>
      <w:r>
        <w:t xml:space="preserve">Senior Sustainability Consultant: glmvowvjoy</w:t>
      </w:r>
    </w:p>
    <w:p>
      <w:pPr>
        <w:pStyle w:val="BodyText"/>
      </w:pPr>
      <w:r>
        <w:t xml:space="preserve">Accounting Standard: GHG Protocol</w:t>
      </w:r>
    </w:p>
    <w:p>
      <w:pPr>
        <w:pStyle w:val="BodyText"/>
      </w:pPr>
      <w:r>
        <w:t xml:space="preserve">Disclaimer: This report is generated based on available data, industry standards, and illustrative placeholder values for detailed parameters where specific data was not provided. The results are intended to demonstrate the methodology and highlight potential emission hotspots rather than serving as a definitive, auditable carbon footprint without precise primary data inputs.</w:t>
      </w:r>
    </w:p>
    <w:bookmarkEnd w:id="20"/>
    <w:bookmarkStart w:id="21" w:name="X5a253fd6a4fd904e1d83dbc7e812ea0166a810a"/>
    <w:p>
      <w:pPr>
        <w:pStyle w:val="Heading1"/>
      </w:pPr>
      <w:r>
        <w:t xml:space="preserve">Product Carbon Footprint Analysis: xmzsplkdol</w:t>
      </w:r>
    </w:p>
    <w:p>
      <w:pPr>
        <w:pStyle w:val="FirstParagraph"/>
      </w:pPr>
      <w:r>
        <w:t xml:space="preserve">Generated Date: May 23, 2026</w:t>
      </w:r>
    </w:p>
    <w:p>
      <w:pPr>
        <w:pStyle w:val="BodyText"/>
      </w:pPr>
      <w:r>
        <w:t xml:space="preserve">Prepared for: jqgndpgjuq</w:t>
      </w:r>
    </w:p>
    <w:p>
      <w:pPr>
        <w:pStyle w:val="BodyText"/>
      </w:pPr>
      <w:r>
        <w:t xml:space="preserve">Prepared by: glmvowvjoy, Senior Sustainability Consultant</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xmzsplkdol, manufactured by jqgndpgjuq. Conducted by Senior Sustainability Consultant glmvowvjoy, this analysis adheres to the Greenhouse Gas (GHG) Protocol standards, including the upcoming 2026 Land Sector and Removals (LSR) Standard, and aims for at least 95% Scope 3 coverage. The primary goal is to quantify the greenhouse gas emissions associated with the product\'s entire lifecycle, from raw material extraction to end-of-life, identifying key emission hotspots and opportunities for reduction. Due to the placeholder nature of some input parameters (e.g., specific BOM data, transport modes/distances, energy details), illustrative values derived from industry averages and best estimates have been used to demonstrate the methodology and calculation process. The functional unit for this analysis is 1.0 unit of xmzsplkdol.</w:t>
      </w:r>
    </w:p>
    <w:bookmarkEnd w:id="22"/>
    <w:bookmarkStart w:id="23" w:name="methodology-overview"/>
    <w:p>
      <w:pPr>
        <w:pStyle w:val="Heading2"/>
      </w:pPr>
      <w:r>
        <w:t xml:space="preserve">2. Methodology Overview</w:t>
      </w:r>
    </w:p>
    <w:p>
      <w:pPr>
        <w:pStyle w:val="FirstParagraph"/>
      </w:pPr>
      <w:r>
        <w:t xml:space="preserve">The Product Carbon Footprint (PCF) analysis was performed following the five key steps recommended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throughout the product\'s life cycle.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waste.</w:t>
      </w:r>
    </w:p>
    <w:p>
      <w:pPr>
        <w:numPr>
          <w:ilvl w:val="0"/>
          <w:numId w:val="1001"/>
        </w:numPr>
        <w:pStyle w:val="Compact"/>
      </w:pPr>
      <w:r>
        <w:rPr>
          <w:bCs/>
          <w:b/>
        </w:rPr>
        <w:t xml:space="preserve">Calculate Emissions:</w:t>
      </w:r>
      <w:r>
        <w:t xml:space="preserve"> </w:t>
      </w:r>
      <w:r>
        <w:t xml:space="preserve">Quantify greenhouse gas emissions (CO2e) for each life cycle stage by multiplying activity data by relevant emission factors.</w:t>
      </w:r>
    </w:p>
    <w:p>
      <w:pPr>
        <w:numPr>
          <w:ilvl w:val="0"/>
          <w:numId w:val="1001"/>
        </w:numPr>
        <w:pStyle w:val="Compact"/>
      </w:pPr>
      <w:r>
        <w:rPr>
          <w:bCs/>
          <w:b/>
        </w:rPr>
        <w:t xml:space="preserve">Review &amp; Report:</w:t>
      </w:r>
      <w:r>
        <w:t xml:space="preserve"> </w:t>
      </w:r>
      <w:r>
        <w:t xml:space="preserve">Analyze results for hotspots, assess reliability, and present findings in a transparent report.</w:t>
      </w:r>
    </w:p>
    <w:p>
      <w:pPr>
        <w:pStyle w:val="FirstParagraph"/>
      </w:pPr>
      <w:r>
        <w:t xml:space="preserve">Emissions are categorized into Scope 1 (direct), Scope 2 (purchased energy), and Scope 3 (value chain) in accordance with the GHG Protocol Corporate Standard. The 2026 LSR Update requirements for land use and carbon removals are considered, and efforts are made to ensure comprehensive Scope 3 reporting, targeting 95% coverage as per 2026 requirements.</w:t>
      </w:r>
    </w:p>
    <w:p>
      <w:r>
        <w:pict>
          <v:rect style="width:0;height:1.5pt" o:hralign="center" o:hrstd="t" o:hr="t"/>
        </w:pict>
      </w:r>
    </w:p>
    <w:bookmarkEnd w:id="23"/>
    <w:bookmarkStart w:id="24" w:name="scope-definition"/>
    <w:p>
      <w:pPr>
        <w:pStyle w:val="Heading2"/>
      </w:pPr>
      <w:r>
        <w:t xml:space="preserve">3. Scope Definition</w:t>
      </w:r>
    </w:p>
    <w:p>
      <w:pPr>
        <w:pStyle w:val="FirstParagraph"/>
      </w:pPr>
      <w:r>
        <w:t xml:space="preserve">This section outlines the foundational parameters for the PCF analysis of xmzsplkdol.</w:t>
      </w:r>
    </w:p>
    <w:p>
      <w:pPr>
        <w:numPr>
          <w:ilvl w:val="0"/>
          <w:numId w:val="1002"/>
        </w:numPr>
        <w:pStyle w:val="Compact"/>
      </w:pPr>
      <w:r>
        <w:rPr>
          <w:bCs/>
          <w:b/>
        </w:rPr>
        <w:t xml:space="preserve">Functional Unit:</w:t>
      </w:r>
      <w:r>
        <w:t xml:space="preserve"> </w:t>
      </w:r>
      <w:r>
        <w:t xml:space="preserve">1.0 unit of xmzsplkdol.</w:t>
      </w:r>
    </w:p>
    <w:p>
      <w:pPr>
        <w:numPr>
          <w:ilvl w:val="0"/>
          <w:numId w:val="1002"/>
        </w:numPr>
        <w:pStyle w:val="Compact"/>
      </w:pPr>
      <w:r>
        <w:rPr>
          <w:bCs/>
          <w:b/>
        </w:rPr>
        <w:t xml:space="preserve">System Boundary:</w:t>
      </w:r>
      <w:r>
        <w:t xml:space="preserve"> </w:t>
      </w:r>
      <w:r>
        <w:t xml:space="preserve">While the parameter initially specified "factory_gate", other requirements mandated the inclusion of "Use Phase" and "End-of-Life (EoL) scenarios". Therefore, this analysis adopts a \'cradle-to-grave\' system boundary to encompass all specified life cycle stages. The \'factory_gate\' boundary is specifically considered for direct production emissions, while upstream and downstream impacts extend beyond it.</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Standard (aligned with Corporate Standard for Scope 1, 2, and 3 categorization).</w:t>
      </w:r>
    </w:p>
    <w:p>
      <w:pPr>
        <w:numPr>
          <w:ilvl w:val="0"/>
          <w:numId w:val="1002"/>
        </w:numPr>
        <w:pStyle w:val="Compact"/>
      </w:pPr>
      <w:r>
        <w:rPr>
          <w:bCs/>
          <w:b/>
        </w:rPr>
        <w:t xml:space="preserve">Allocation:</w:t>
      </w:r>
      <w:r>
        <w:t xml:space="preserve"> </w:t>
      </w:r>
      <w:r>
        <w:t xml:space="preserve">Where co-products or multi-functional processes exist, allocation is performed based on mass or economic value, as appropriate. For this illustrative report, direct impacts are attributed to the functional unit.</w:t>
      </w:r>
    </w:p>
    <w:bookmarkEnd w:id="24"/>
    <w:bookmarkStart w:id="30" w:name="X43f61c79ed7c8a3fa7fbd4506b234e3a0c1ddbe"/>
    <w:p>
      <w:pPr>
        <w:pStyle w:val="Heading2"/>
      </w:pPr>
      <w:r>
        <w:t xml:space="preserve">4. Lifecycle Inventory (LCI) Mapping &amp; Data Collection</w:t>
      </w:r>
    </w:p>
    <w:p>
      <w:pPr>
        <w:pStyle w:val="FirstParagraph"/>
      </w:pPr>
      <w:r>
        <w:t xml:space="preserve">This section details the inputs and processes across the product lifecycle. As specific values for some parameters were provided as placeholders, illustrative data reflecting typical industry scenarios have been used for calculation purposes to demonstrate the methodology.</w:t>
      </w:r>
    </w:p>
    <w:bookmarkStart w:id="25" w:name="X6d9a4de3447d349f7e8509e4de076eeccd9d1cd"/>
    <w:p>
      <w:pPr>
        <w:pStyle w:val="Heading3"/>
      </w:pPr>
      <w:r>
        <w:t xml:space="preserve">4.1. Bill of Materials (BOM) - Upstream (Scope 3, Category 1: Purchased Goods &amp; Services)</w:t>
      </w:r>
    </w:p>
    <w:p>
      <w:pPr>
        <w:pStyle w:val="FirstParagraph"/>
      </w:pPr>
      <w:r>
        <w:t xml:space="preserve">The detailed Bill of Materials (BOM) for xmzsplkdol, represented by the placeholder \'pqeisuyw\', was critical for assessing material impacts. For the purpose of this illustrative analysis, the following example BOM data (adhering to the specified format) and associated emission factors have been used. Actual precise data would be required for a definitive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Product Weight:</w:t>
      </w:r>
      <w:r>
        <w:t xml:space="preserve"> </w:t>
      </w:r>
      <w:r>
        <w:t xml:space="preserve">0.9 kg</w:t>
      </w:r>
    </w:p>
    <w:bookmarkEnd w:id="25"/>
    <w:bookmarkStart w:id="26" w:name="X70ae1de348f63a2829d4690c64e7d910562cd07"/>
    <w:p>
      <w:pPr>
        <w:pStyle w:val="Heading3"/>
      </w:pPr>
      <w:r>
        <w:t xml:space="preserve">4.2. Production Phase (Scope 1 &amp; 2, partially Scope 3)</w:t>
      </w:r>
    </w:p>
    <w:p>
      <w:pPr>
        <w:numPr>
          <w:ilvl w:val="0"/>
          <w:numId w:val="1003"/>
        </w:numPr>
        <w:pStyle w:val="Compact"/>
      </w:pPr>
      <w:r>
        <w:rPr>
          <w:bCs/>
          <w:b/>
        </w:rPr>
        <w:t xml:space="preserve">Energy Intensity (kWh/unit):</w:t>
      </w:r>
      <w:r>
        <w:t xml:space="preserve"> </w:t>
      </w:r>
      <w:r>
        <w:t xml:space="preserve">`uxxkqvrjmt` - Illustrative value used: 8 kWh/unit.</w:t>
      </w:r>
    </w:p>
    <w:p>
      <w:pPr>
        <w:numPr>
          <w:ilvl w:val="0"/>
          <w:numId w:val="1003"/>
        </w:numPr>
        <w:pStyle w:val="Compact"/>
      </w:pPr>
      <w:r>
        <w:rPr>
          <w:bCs/>
          <w:b/>
        </w:rPr>
        <w:t xml:space="preserve">Renewable Energy Usage (%):</w:t>
      </w:r>
      <w:r>
        <w:t xml:space="preserve"> </w:t>
      </w:r>
      <w:r>
        <w:t xml:space="preserve">`dpixkxltyz` - Illustrative value used: 30%. This percentage is assumed to directly reduce Scope 2 emissions from purchased grid electricity.</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Electricity Grid Emission Factor (China):</w:t>
      </w:r>
      <w:r>
        <w:t xml:space="preserve"> </w:t>
      </w:r>
      <w:r>
        <w:t xml:space="preserve">0.60 kgCO2e/kWh (Illustrative average, based on recent data from China, which indicates values around 0.55-0.62 kgCO2e/kWh).</w:t>
      </w:r>
    </w:p>
    <w:p>
      <w:pPr>
        <w:numPr>
          <w:ilvl w:val="0"/>
          <w:numId w:val="1003"/>
        </w:numPr>
        <w:pStyle w:val="Compact"/>
      </w:pPr>
      <w:r>
        <w:rPr>
          <w:bCs/>
          <w:b/>
        </w:rPr>
        <w:t xml:space="preserve">Direct Emissions (Scope 1):</w:t>
      </w:r>
      <w:r>
        <w:t xml:space="preserve"> </w:t>
      </w:r>
      <w:r>
        <w:t xml:space="preserve">Assuming minimal direct combustion or process emissions for this product\'s manufacturing; for a real analysis, these would be quantified from facility fuel consumption (e.g., natural gas for heating) or specific industrial processes. For this illustrative report, Scope 1 is considered negligible unless further specific data is provided.</w:t>
      </w:r>
    </w:p>
    <w:bookmarkEnd w:id="26"/>
    <w:bookmarkStart w:id="27" w:name="X267a9d4e01632d4209f60d4182f3de86db7a7f0"/>
    <w:p>
      <w:pPr>
        <w:pStyle w:val="Heading3"/>
      </w:pPr>
      <w:r>
        <w:t xml:space="preserve">4.3. Transport &amp; Distribution (Scope 3, Category 4 &amp; 9)</w:t>
      </w:r>
    </w:p>
    <w:p>
      <w:pPr>
        <w:pStyle w:val="FirstParagraph"/>
      </w:pPr>
      <w:r>
        <w:t xml:space="preserve">The following illustrative data have been used for transport, as specific details for \'Select Mode\', \'xhfuyskhjz\', and \'Delivery Type\' were placeholders.</w:t>
      </w:r>
    </w:p>
    <w:p>
      <w:pPr>
        <w:numPr>
          <w:ilvl w:val="0"/>
          <w:numId w:val="1004"/>
        </w:numPr>
        <w:pStyle w:val="Compact"/>
      </w:pPr>
      <w:r>
        <w:rPr>
          <w:bCs/>
          <w:b/>
        </w:rPr>
        <w:t xml:space="preserve">Inbound/Outbound Transport Mode (Primary Components/Product):</w:t>
      </w:r>
      <w:r>
        <w:t xml:space="preserve"> </w:t>
      </w:r>
      <w:r>
        <w:t xml:space="preserve">Road freight (Heavy duty truck). Emission Factor: 0.09 kgCO2e/tkm (tonne-kilometer).</w:t>
      </w:r>
    </w:p>
    <w:p>
      <w:pPr>
        <w:numPr>
          <w:ilvl w:val="0"/>
          <w:numId w:val="1004"/>
        </w:numPr>
        <w:pStyle w:val="Compact"/>
      </w:pPr>
      <w:r>
        <w:rPr>
          <w:bCs/>
          <w:b/>
        </w:rPr>
        <w:t xml:space="preserve">Transport Distance (Primary Components/Product):</w:t>
      </w:r>
      <w:r>
        <w:t xml:space="preserve"> </w:t>
      </w:r>
      <w:r>
        <w:t xml:space="preserve">`xhfuyskhjz` - Illustrative value used: 1500 km per unit. This covers upstream material transport and outbound product distribution to a central hub.</w:t>
      </w:r>
    </w:p>
    <w:p>
      <w:pPr>
        <w:numPr>
          <w:ilvl w:val="0"/>
          <w:numId w:val="1004"/>
        </w:numPr>
        <w:pStyle w:val="Compact"/>
      </w:pPr>
      <w:r>
        <w:rPr>
          <w:bCs/>
          <w:b/>
        </w:rPr>
        <w:t xml:space="preserve">Last-Mile Delivery Channel:</w:t>
      </w:r>
      <w:r>
        <w:t xml:space="preserve"> </w:t>
      </w:r>
      <w:r>
        <w:t xml:space="preserve">`Delivery Type` - Illustrative value used: Light commercial vehicle.</w:t>
      </w:r>
    </w:p>
    <w:p>
      <w:pPr>
        <w:numPr>
          <w:ilvl w:val="0"/>
          <w:numId w:val="1004"/>
        </w:numPr>
        <w:pStyle w:val="Compact"/>
      </w:pPr>
      <w:r>
        <w:rPr>
          <w:bCs/>
          <w:b/>
        </w:rPr>
        <w:t xml:space="preserve">Last-Mile Delivery Distance:</w:t>
      </w:r>
      <w:r>
        <w:t xml:space="preserve"> </w:t>
      </w:r>
      <w:r>
        <w:t xml:space="preserve">Illustrative value used: 50 km per unit.</w:t>
      </w:r>
    </w:p>
    <w:p>
      <w:pPr>
        <w:numPr>
          <w:ilvl w:val="0"/>
          <w:numId w:val="1004"/>
        </w:numPr>
        <w:pStyle w:val="Compact"/>
      </w:pPr>
      <w:r>
        <w:rPr>
          <w:bCs/>
          <w:b/>
        </w:rPr>
        <w:t xml:space="preserve">Last-Mile Delivery Emission Factor (Illustrative):</w:t>
      </w:r>
      <w:r>
        <w:t xml:space="preserve"> </w:t>
      </w:r>
      <w:r>
        <w:t xml:space="preserve">Assuming a payload of 0.5 tonnes for the LCV, and an EF of 0.2 kgCO2e/vkm, the per-unit factor will be derived. Simplified to 0.02 kgCO2e/unit/km (assuming 10 units per trip on average, total 1 kgCO2e for 50km last mile).</w:t>
      </w:r>
    </w:p>
    <w:bookmarkEnd w:id="27"/>
    <w:bookmarkStart w:id="28" w:name="Xc8d47610e025d3b1fe367d676386ecee874efa3"/>
    <w:p>
      <w:pPr>
        <w:pStyle w:val="Heading3"/>
      </w:pPr>
      <w:r>
        <w:t xml:space="preserve">4.4. Use Phase (Scope 3, Category 11: Use of Sold Products)</w:t>
      </w:r>
    </w:p>
    <w:p>
      <w:pPr>
        <w:pStyle w:val="FirstParagraph"/>
      </w:pPr>
      <w:r>
        <w:t xml:space="preserve">The product\'s durability and energy consumption during its use phase are crucial for a comprehensive PCF.</w:t>
      </w:r>
    </w:p>
    <w:p>
      <w:pPr>
        <w:numPr>
          <w:ilvl w:val="0"/>
          <w:numId w:val="1005"/>
        </w:numPr>
        <w:pStyle w:val="Compact"/>
      </w:pPr>
      <w:r>
        <w:rPr>
          <w:bCs/>
          <w:b/>
        </w:rPr>
        <w:t xml:space="preserve">Product Lifespan:</w:t>
      </w:r>
      <w:r>
        <w:t xml:space="preserve"> </w:t>
      </w:r>
      <w:r>
        <w:t xml:space="preserve">`yfphojpknv` - Illustrative value used: 7 years (2555 days).</w:t>
      </w:r>
    </w:p>
    <w:p>
      <w:pPr>
        <w:numPr>
          <w:ilvl w:val="0"/>
          <w:numId w:val="1005"/>
        </w:numPr>
        <w:pStyle w:val="Compact"/>
      </w:pPr>
      <w:r>
        <w:rPr>
          <w:bCs/>
          <w:b/>
        </w:rPr>
        <w:t xml:space="preserve">Energy Consumption in Use:</w:t>
      </w:r>
      <w:r>
        <w:t xml:space="preserve"> </w:t>
      </w:r>
      <w:r>
        <w:t xml:space="preserve">`yhtrxuxvhf` - Illustrative value used: 0.05 kWh/day.</w:t>
      </w:r>
    </w:p>
    <w:p>
      <w:pPr>
        <w:numPr>
          <w:ilvl w:val="0"/>
          <w:numId w:val="1005"/>
        </w:numPr>
        <w:pStyle w:val="Compact"/>
      </w:pPr>
      <w:r>
        <w:rPr>
          <w:bCs/>
          <w:b/>
        </w:rPr>
        <w:t xml:space="preserve">Electricity Grid Emission Factor (User Country):</w:t>
      </w:r>
      <w:r>
        <w:t xml:space="preserve"> </w:t>
      </w:r>
      <w:r>
        <w:t xml:space="preserve">Assuming usage in a region with a similar grid mix to China for simplicity in this illustrative report: 0.60 kgCO2e/kWh.</w:t>
      </w:r>
    </w:p>
    <w:bookmarkEnd w:id="28"/>
    <w:bookmarkStart w:id="29" w:name="X22f9dae0edae5a4ebf0dcf5b8ca74de2c6ea5a4"/>
    <w:p>
      <w:pPr>
        <w:pStyle w:val="Heading3"/>
      </w:pPr>
      <w:r>
        <w:t xml:space="preserve">4.5. End-of-Life (EoL) Scenarios (Scope 3, Category 12: End-of-Life Treatment of Sold Products)</w:t>
      </w:r>
    </w:p>
    <w:p>
      <w:pPr>
        <w:pStyle w:val="FirstParagraph"/>
      </w:pPr>
      <w:r>
        <w:t xml:space="preserve">Circular economy principles are incorporated into the EoL assessment.</w:t>
      </w:r>
    </w:p>
    <w:p>
      <w:pPr>
        <w:numPr>
          <w:ilvl w:val="0"/>
          <w:numId w:val="1006"/>
        </w:numPr>
        <w:pStyle w:val="Compact"/>
      </w:pPr>
      <w:r>
        <w:rPr>
          <w:bCs/>
          <w:b/>
        </w:rPr>
        <w:t xml:space="preserve">Recyclability Percentage:</w:t>
      </w:r>
      <w:r>
        <w:t xml:space="preserve"> </w:t>
      </w:r>
      <w:r>
        <w:t xml:space="preserve">`vrnyieqizd` - Illustrative value used: 60%.</w:t>
      </w:r>
    </w:p>
    <w:p>
      <w:pPr>
        <w:numPr>
          <w:ilvl w:val="0"/>
          <w:numId w:val="1006"/>
        </w:numPr>
        <w:pStyle w:val="Compact"/>
      </w:pPr>
      <w:r>
        <w:rPr>
          <w:bCs/>
          <w:b/>
        </w:rPr>
        <w:t xml:space="preserve">Circular/Take-back Programs:</w:t>
      </w:r>
      <w:r>
        <w:t xml:space="preserve"> </w:t>
      </w:r>
      <w:r>
        <w:t xml:space="preserve">`kiirnryjtm` - Illustrative value used: Yes. This implies the 60% recyclability is actively supported.</w:t>
      </w:r>
    </w:p>
    <w:p>
      <w:pPr>
        <w:numPr>
          <w:ilvl w:val="0"/>
          <w:numId w:val="1006"/>
        </w:numPr>
        <w:pStyle w:val="Compact"/>
      </w:pPr>
      <w:r>
        <w:rPr>
          <w:bCs/>
          <w:b/>
        </w:rPr>
        <w:t xml:space="preserve">Waste to Landfill Emission Factor:</w:t>
      </w:r>
      <w:r>
        <w:t xml:space="preserve"> </w:t>
      </w:r>
      <w:r>
        <w:t xml:space="preserve">0.3 kgCO2e/kg (Illustrative, for mixed waste, based on literature indicating values up to 0.3 kgCO2e/kg for conventional mixed waste landfilling).</w:t>
      </w:r>
    </w:p>
    <w:p>
      <w:pPr>
        <w:numPr>
          <w:ilvl w:val="0"/>
          <w:numId w:val="1006"/>
        </w:numPr>
        <w:pStyle w:val="Compact"/>
      </w:pPr>
      <w:r>
        <w:rPr>
          <w:bCs/>
          <w:b/>
        </w:rPr>
        <w:t xml:space="preserve">Recycling Credit (Avoided Emissions):</w:t>
      </w:r>
      <w:r>
        <w:t xml:space="preserve"> </w:t>
      </w:r>
      <w:r>
        <w:t xml:space="preserve">-1.0 kgCO2e/kg (Illustrative, reflecting avoided virgin material production, varies by material).</w:t>
      </w:r>
    </w:p>
    <w:p>
      <w:r>
        <w:pict>
          <v:rect style="width:0;height:1.5pt" o:hralign="center" o:hrstd="t" o:hr="t"/>
        </w:pict>
      </w:r>
    </w:p>
    <w:bookmarkEnd w:id="29"/>
    <w:bookmarkEnd w:id="30"/>
    <w:bookmarkStart w:id="42" w:name="Xf3429bd73d107a0ac6e7d0a93ddad7a4656728d"/>
    <w:p>
      <w:pPr>
        <w:pStyle w:val="Heading2"/>
      </w:pPr>
      <w:r>
        <w:t xml:space="preserve">5. Emissions Calculation (Activity Data * Emission Factor = CO2e)</w:t>
      </w:r>
    </w:p>
    <w:p>
      <w:pPr>
        <w:pStyle w:val="FirstParagraph"/>
      </w:pPr>
      <w:r>
        <w:t xml:space="preserve">Calculations are performed for each life cycle stage, categorized by GHG Protocol Scopes. All results are presented in kilograms of CO2 equivalent (kgCO2e).</w:t>
      </w:r>
    </w:p>
    <w:bookmarkStart w:id="31" w:name="scope-1-emissions-direct-emissions"/>
    <w:p>
      <w:pPr>
        <w:pStyle w:val="Heading3"/>
      </w:pPr>
      <w:r>
        <w:t xml:space="preserve">5.1. Scope 1 Emissions (Direct Emissions)</w:t>
      </w:r>
    </w:p>
    <w:p>
      <w:pPr>
        <w:pStyle w:val="FirstParagraph"/>
      </w:pPr>
      <w:r>
        <w:t xml:space="preserve">For this product, xmzsplkdol, and based on the current parameters, no direct (Scope 1) emissions from owned or controlled sources at the production facility (e.g., fuel combustion in company-owned vehicles or on-site heating, specific process emissions) have been explicitly identified or quantified. A comprehensive primary data collection would be necessary to identify and include these. For this illustrative report, Scope 1 emissions are assumed to be negligible for the product itself, acknowledging they would typically be present at an organizational level.</w:t>
      </w:r>
    </w:p>
    <w:p>
      <w:pPr>
        <w:pStyle w:val="BodyText"/>
      </w:pPr>
      <w:r>
        <w:rPr>
          <w:bCs/>
          <w:b/>
        </w:rPr>
        <w:t xml:space="preserve">Total Scope 1 Emissions: 0.00 kgCO2e</w:t>
      </w:r>
    </w:p>
    <w:bookmarkEnd w:id="31"/>
    <w:bookmarkStart w:id="32" w:name="scope-2-emissions-purchased-energy"/>
    <w:p>
      <w:pPr>
        <w:pStyle w:val="Heading3"/>
      </w:pPr>
      <w:r>
        <w:t xml:space="preserve">5.2. Scope 2 Emissions (Purchased Energy)</w:t>
      </w:r>
    </w:p>
    <w:p>
      <w:pPr>
        <w:pStyle w:val="FirstParagraph"/>
      </w:pPr>
      <w:r>
        <w:t xml:space="preserve">Scope 2 emissions relate to the generation of purchased electricity for the manufacturing of xmzsplkdol in China.</w:t>
      </w:r>
    </w:p>
    <w:p>
      <w:pPr>
        <w:numPr>
          <w:ilvl w:val="0"/>
          <w:numId w:val="1007"/>
        </w:numPr>
        <w:pStyle w:val="Compact"/>
      </w:pPr>
      <w:r>
        <w:t xml:space="preserve">Energy Intensity: 8 kWh/unit</w:t>
      </w:r>
    </w:p>
    <w:p>
      <w:pPr>
        <w:numPr>
          <w:ilvl w:val="0"/>
          <w:numId w:val="1007"/>
        </w:numPr>
        <w:pStyle w:val="Compact"/>
      </w:pPr>
      <w:r>
        <w:t xml:space="preserve">Renewable Energy Usage: 30%</w:t>
      </w:r>
    </w:p>
    <w:p>
      <w:pPr>
        <w:numPr>
          <w:ilvl w:val="0"/>
          <w:numId w:val="1007"/>
        </w:numPr>
        <w:pStyle w:val="Compact"/>
      </w:pPr>
      <w:r>
        <w:t xml:space="preserve">Non-renewable energy portion: 8 kWh/unit * (1 - 0.30) = 5.6 kWh/unit</w:t>
      </w:r>
    </w:p>
    <w:p>
      <w:pPr>
        <w:numPr>
          <w:ilvl w:val="0"/>
          <w:numId w:val="1007"/>
        </w:numPr>
        <w:pStyle w:val="Compact"/>
      </w:pPr>
      <w:r>
        <w:t xml:space="preserve">Electricity Grid Emission Factor (China): 0.60 kgCO2e/kWh</w:t>
      </w:r>
    </w:p>
    <w:p>
      <w:pPr>
        <w:numPr>
          <w:ilvl w:val="0"/>
          <w:numId w:val="1007"/>
        </w:numPr>
        <w:pStyle w:val="Compact"/>
      </w:pPr>
      <w:r>
        <w:rPr>
          <w:bCs/>
          <w:b/>
        </w:rPr>
        <w:t xml:space="preserve">Calculation:</w:t>
      </w:r>
      <w:r>
        <w:t xml:space="preserve"> </w:t>
      </w:r>
      <w:r>
        <w:t xml:space="preserve">5.6 kWh/unit * 0.60 kgCO2e/kWh = 3.36 kgCO2e/unit</w:t>
      </w:r>
    </w:p>
    <w:p>
      <w:pPr>
        <w:pStyle w:val="FirstParagraph"/>
      </w:pPr>
      <w:r>
        <w:rPr>
          <w:bCs/>
          <w:b/>
        </w:rPr>
        <w:t xml:space="preserve">Total Scope 2 Emissions: 3.36 kgCO2e</w:t>
      </w:r>
    </w:p>
    <w:bookmarkEnd w:id="32"/>
    <w:bookmarkStart w:id="40" w:name="scope-3-emissions-value-chain-emissions"/>
    <w:p>
      <w:pPr>
        <w:pStyle w:val="Heading3"/>
      </w:pPr>
      <w:r>
        <w:t xml:space="preserve">5.3. Scope 3 Emissions (Value Chain Emissions)</w:t>
      </w:r>
    </w:p>
    <w:p>
      <w:pPr>
        <w:pStyle w:val="FirstParagraph"/>
      </w:pPr>
      <w:r>
        <w:t xml:space="preserve">Scope 3 emissions are typically the largest portion of a product\'s footprint, covering upstream and downstream activities not directly owned or controlled by jqgndpgjuq.</w:t>
      </w:r>
    </w:p>
    <w:bookmarkStart w:id="35" w:name="upstream-emissions"/>
    <w:p>
      <w:pPr>
        <w:pStyle w:val="Heading4"/>
      </w:pPr>
      <w:r>
        <w:t xml:space="preserve">5.3.1. Upstream Emissions</w:t>
      </w:r>
    </w:p>
    <w:bookmarkStart w:id="33" w:name="X6b4bede62eec6fea496134e3f9fa1b231ac088b"/>
    <w:p>
      <w:pPr>
        <w:pStyle w:val="Heading5"/>
      </w:pPr>
      <w:r>
        <w:t xml:space="preserve">5.3.1.1. Category 1: Purchased Goods and Services (Raw Materials)</w:t>
      </w:r>
    </w:p>
    <w:p>
      <w:pPr>
        <w:pStyle w:val="FirstParagraph"/>
      </w:pPr>
      <w:r>
        <w:t xml:space="preserve">Based on the illustrative BOM data:</w:t>
      </w:r>
    </w:p>
    <w:p>
      <w:pPr>
        <w:numPr>
          <w:ilvl w:val="0"/>
          <w:numId w:val="1008"/>
        </w:numPr>
        <w:pStyle w:val="Compact"/>
      </w:pPr>
      <w:r>
        <w:t xml:space="preserve">Steel Casing: 0.5 kg * 2.0 kgCO2e/kg = 1.0 kgCO2e</w:t>
      </w:r>
    </w:p>
    <w:p>
      <w:pPr>
        <w:numPr>
          <w:ilvl w:val="0"/>
          <w:numId w:val="1008"/>
        </w:numPr>
        <w:pStyle w:val="Compact"/>
      </w:pPr>
      <w:r>
        <w:t xml:space="preserve">Plastic Housing: 0.2 kg * 3.5 kgCO2e/kg = 0.7 kgCO2e</w:t>
      </w:r>
    </w:p>
    <w:p>
      <w:pPr>
        <w:numPr>
          <w:ilvl w:val="0"/>
          <w:numId w:val="1008"/>
        </w:numPr>
        <w:pStyle w:val="Compact"/>
      </w:pPr>
      <w:r>
        <w:t xml:space="preserve">Electronic Components: 0.1 kg * 10.0 kgCO2e/kg = 1.0 kgCO2e</w:t>
      </w:r>
    </w:p>
    <w:p>
      <w:pPr>
        <w:numPr>
          <w:ilvl w:val="0"/>
          <w:numId w:val="1008"/>
        </w:numPr>
        <w:pStyle w:val="Compact"/>
      </w:pPr>
      <w:r>
        <w:t xml:space="preserve">Packaging Cardboard: 0.1 kg * 0.5 kgCO2e/kg = 0.05 kgCO2e</w:t>
      </w:r>
    </w:p>
    <w:p>
      <w:pPr>
        <w:pStyle w:val="FirstParagraph"/>
      </w:pPr>
      <w:r>
        <w:rPr>
          <w:bCs/>
          <w:b/>
        </w:rPr>
        <w:t xml:space="preserve">Subtotal Category 1 Emissions: 2.75 kgCO2e</w:t>
      </w:r>
    </w:p>
    <w:bookmarkEnd w:id="33"/>
    <w:bookmarkStart w:id="34" w:name="X6669a43143349c25ec93e775eebde43de53a73c"/>
    <w:p>
      <w:pPr>
        <w:pStyle w:val="Heading5"/>
      </w:pPr>
      <w:r>
        <w:t xml:space="preserve">5.3.1.2. Category 4: Upstream Transportation and Distribution</w:t>
      </w:r>
    </w:p>
    <w:p>
      <w:pPr>
        <w:pStyle w:val="FirstParagraph"/>
      </w:pPr>
      <w:r>
        <w:t xml:space="preserve">This covers the transport of raw materials to the production facility and the outbound transport of the finished product to distribution hubs.</w:t>
      </w:r>
    </w:p>
    <w:p>
      <w:pPr>
        <w:numPr>
          <w:ilvl w:val="0"/>
          <w:numId w:val="1009"/>
        </w:numPr>
        <w:pStyle w:val="Compact"/>
      </w:pPr>
      <w:r>
        <w:t xml:space="preserve">Total Product Weight: 0.9 kg</w:t>
      </w:r>
    </w:p>
    <w:p>
      <w:pPr>
        <w:numPr>
          <w:ilvl w:val="0"/>
          <w:numId w:val="1009"/>
        </w:numPr>
        <w:pStyle w:val="Compact"/>
      </w:pPr>
      <w:r>
        <w:t xml:space="preserve">Assumed primary transport distance (inbound/outbound): 1500 km</w:t>
      </w:r>
    </w:p>
    <w:p>
      <w:pPr>
        <w:numPr>
          <w:ilvl w:val="0"/>
          <w:numId w:val="1009"/>
        </w:numPr>
        <w:pStyle w:val="Compact"/>
      </w:pPr>
      <w:r>
        <w:t xml:space="preserve">Emission Factor (Road freight): 0.09 kgCO2e/tkm</w:t>
      </w:r>
    </w:p>
    <w:p>
      <w:pPr>
        <w:numPr>
          <w:ilvl w:val="0"/>
          <w:numId w:val="1009"/>
        </w:numPr>
        <w:pStyle w:val="Compact"/>
      </w:pPr>
      <w:r>
        <w:rPr>
          <w:bCs/>
          <w:b/>
        </w:rPr>
        <w:t xml:space="preserve">Calculation:</w:t>
      </w:r>
      <w:r>
        <w:t xml:space="preserve"> </w:t>
      </w:r>
      <w:r>
        <w:t xml:space="preserve">(0.9 kg / 1000 kg/tonne) * 1500 km * 0.09 kgCO2e/tkm = 0.1215 kgCO2e/unit</w:t>
      </w:r>
    </w:p>
    <w:p>
      <w:pPr>
        <w:pStyle w:val="FirstParagraph"/>
      </w:pPr>
      <w:r>
        <w:rPr>
          <w:bCs/>
          <w:b/>
        </w:rPr>
        <w:t xml:space="preserve">Subtotal Category 4 Emissions: 0.12 kgCO2e</w:t>
      </w:r>
      <w:r>
        <w:t xml:space="preserve"> </w:t>
      </w:r>
      <w:r>
        <w:t xml:space="preserve">(rounded)</w:t>
      </w:r>
    </w:p>
    <w:bookmarkEnd w:id="34"/>
    <w:bookmarkEnd w:id="35"/>
    <w:bookmarkStart w:id="39" w:name="downstream-emissions"/>
    <w:p>
      <w:pPr>
        <w:pStyle w:val="Heading4"/>
      </w:pPr>
      <w:r>
        <w:t xml:space="preserve">5.3.2. Downstream Emissions</w:t>
      </w:r>
    </w:p>
    <w:bookmarkStart w:id="36" w:name="Xe6a609cc71639c4bb5b5bcd247c776c9d89fa33"/>
    <w:p>
      <w:pPr>
        <w:pStyle w:val="Heading5"/>
      </w:pPr>
      <w:r>
        <w:t xml:space="preserve">5.3.2.1. Category 9: Downstream Transportation and Distribution (Last-Mile Delivery)</w:t>
      </w:r>
    </w:p>
    <w:p>
      <w:pPr>
        <w:numPr>
          <w:ilvl w:val="0"/>
          <w:numId w:val="1010"/>
        </w:numPr>
        <w:pStyle w:val="Compact"/>
      </w:pPr>
      <w:r>
        <w:t xml:space="preserve">Last-Mile Delivery Distance: 50 km</w:t>
      </w:r>
    </w:p>
    <w:p>
      <w:pPr>
        <w:numPr>
          <w:ilvl w:val="0"/>
          <w:numId w:val="1010"/>
        </w:numPr>
        <w:pStyle w:val="Compact"/>
      </w:pPr>
      <w:r>
        <w:t xml:space="preserve">Last-Mile Delivery Emission Factor (Illustrative, per unit): 0.02 kgCO2e/unit/km</w:t>
      </w:r>
    </w:p>
    <w:p>
      <w:pPr>
        <w:numPr>
          <w:ilvl w:val="0"/>
          <w:numId w:val="1010"/>
        </w:numPr>
        <w:pStyle w:val="Compact"/>
      </w:pPr>
      <w:r>
        <w:rPr>
          <w:bCs/>
          <w:b/>
        </w:rPr>
        <w:t xml:space="preserve">Calculation:</w:t>
      </w:r>
      <w:r>
        <w:t xml:space="preserve"> </w:t>
      </w:r>
      <w:r>
        <w:t xml:space="preserve">50 km * 0.02 kgCO2e/unit/km = 1.0 kgCO2e/unit</w:t>
      </w:r>
    </w:p>
    <w:p>
      <w:pPr>
        <w:pStyle w:val="FirstParagraph"/>
      </w:pPr>
      <w:r>
        <w:rPr>
          <w:bCs/>
          <w:b/>
        </w:rPr>
        <w:t xml:space="preserve">Subtotal Category 9 Emissions: 1.00 kgCO2e</w:t>
      </w:r>
    </w:p>
    <w:bookmarkEnd w:id="36"/>
    <w:bookmarkStart w:id="37" w:name="category-11-use-of-sold-products"/>
    <w:p>
      <w:pPr>
        <w:pStyle w:val="Heading5"/>
      </w:pPr>
      <w:r>
        <w:t xml:space="preserve">5.3.2.2. Category 11: Use of Sold Products</w:t>
      </w:r>
    </w:p>
    <w:p>
      <w:pPr>
        <w:pStyle w:val="FirstParagraph"/>
      </w:pPr>
      <w:r>
        <w:t xml:space="preserve">Emissions from the energy consumption during the product\'s lifespan.</w:t>
      </w:r>
    </w:p>
    <w:p>
      <w:pPr>
        <w:numPr>
          <w:ilvl w:val="0"/>
          <w:numId w:val="1011"/>
        </w:numPr>
        <w:pStyle w:val="Compact"/>
      </w:pPr>
      <w:r>
        <w:t xml:space="preserve">Product Lifespan: 7 years * 365 days/year = 2555 days</w:t>
      </w:r>
    </w:p>
    <w:p>
      <w:pPr>
        <w:numPr>
          <w:ilvl w:val="0"/>
          <w:numId w:val="1011"/>
        </w:numPr>
        <w:pStyle w:val="Compact"/>
      </w:pPr>
      <w:r>
        <w:t xml:space="preserve">Energy Consumption in Use: 0.05 kWh/day</w:t>
      </w:r>
    </w:p>
    <w:p>
      <w:pPr>
        <w:numPr>
          <w:ilvl w:val="0"/>
          <w:numId w:val="1011"/>
        </w:numPr>
        <w:pStyle w:val="Compact"/>
      </w:pPr>
      <w:r>
        <w:t xml:space="preserve">Electricity Grid Emission Factor (User Country): 0.60 kgCO2e/kWh</w:t>
      </w:r>
    </w:p>
    <w:p>
      <w:pPr>
        <w:numPr>
          <w:ilvl w:val="0"/>
          <w:numId w:val="1011"/>
        </w:numPr>
        <w:pStyle w:val="Compact"/>
      </w:pPr>
      <w:r>
        <w:rPr>
          <w:bCs/>
          <w:b/>
        </w:rPr>
        <w:t xml:space="preserve">Calculation:</w:t>
      </w:r>
      <w:r>
        <w:t xml:space="preserve"> </w:t>
      </w:r>
      <w:r>
        <w:t xml:space="preserve">2555 days * 0.05 kWh/day * 0.60 kgCO2e/kWh = 76.65 kgCO2e/unit</w:t>
      </w:r>
    </w:p>
    <w:p>
      <w:pPr>
        <w:pStyle w:val="FirstParagraph"/>
      </w:pPr>
      <w:r>
        <w:rPr>
          <w:bCs/>
          <w:b/>
        </w:rPr>
        <w:t xml:space="preserve">Subtotal Category 11 Emissions: 76.65 kgCO2e</w:t>
      </w:r>
    </w:p>
    <w:bookmarkEnd w:id="37"/>
    <w:bookmarkStart w:id="38" w:name="X9f66eef2700632e081dfe139021cb724ffcd2c5"/>
    <w:p>
      <w:pPr>
        <w:pStyle w:val="Heading5"/>
      </w:pPr>
      <w:r>
        <w:t xml:space="preserve">5.3.2.3. Category 12: End-of-Life Treatment of Sold Products</w:t>
      </w:r>
    </w:p>
    <w:p>
      <w:pPr>
        <w:pStyle w:val="FirstParagraph"/>
      </w:pPr>
      <w:r>
        <w:t xml:space="preserve">Emissions from disposal and potential avoided emissions from recycling.</w:t>
      </w:r>
    </w:p>
    <w:p>
      <w:pPr>
        <w:numPr>
          <w:ilvl w:val="0"/>
          <w:numId w:val="1012"/>
        </w:numPr>
        <w:pStyle w:val="Compact"/>
      </w:pPr>
      <w:r>
        <w:t xml:space="preserve">Total Product Weight: 0.9 kg</w:t>
      </w:r>
    </w:p>
    <w:p>
      <w:pPr>
        <w:numPr>
          <w:ilvl w:val="0"/>
          <w:numId w:val="1012"/>
        </w:numPr>
        <w:pStyle w:val="Compact"/>
      </w:pPr>
      <w:r>
        <w:t xml:space="preserve">Recyclability Percentage: 60%</w:t>
      </w:r>
    </w:p>
    <w:p>
      <w:pPr>
        <w:numPr>
          <w:ilvl w:val="0"/>
          <w:numId w:val="1012"/>
        </w:numPr>
        <w:pStyle w:val="Compact"/>
      </w:pPr>
      <w:r>
        <w:t xml:space="preserve">Portion Landfilled: 0.9 kg * (1 - 0.60) = 0.36 kg</w:t>
      </w:r>
    </w:p>
    <w:p>
      <w:pPr>
        <w:numPr>
          <w:ilvl w:val="0"/>
          <w:numId w:val="1012"/>
        </w:numPr>
        <w:pStyle w:val="Compact"/>
      </w:pPr>
      <w:r>
        <w:t xml:space="preserve">Portion Recycled: 0.9 kg * 0.60 = 0.54 kg</w:t>
      </w:r>
    </w:p>
    <w:p>
      <w:pPr>
        <w:numPr>
          <w:ilvl w:val="0"/>
          <w:numId w:val="1012"/>
        </w:numPr>
        <w:pStyle w:val="Compact"/>
      </w:pPr>
      <w:r>
        <w:t xml:space="preserve">Landfill Emission Factor: 0.3 kgCO2e/kg</w:t>
      </w:r>
    </w:p>
    <w:p>
      <w:pPr>
        <w:numPr>
          <w:ilvl w:val="0"/>
          <w:numId w:val="1012"/>
        </w:numPr>
        <w:pStyle w:val="Compact"/>
      </w:pPr>
      <w:r>
        <w:t xml:space="preserve">Recycling Credit: -1.0 kgCO2e/kg (credit for avoided virgin material production)</w:t>
      </w:r>
    </w:p>
    <w:p>
      <w:pPr>
        <w:numPr>
          <w:ilvl w:val="0"/>
          <w:numId w:val="1012"/>
        </w:numPr>
        <w:pStyle w:val="Compact"/>
      </w:pPr>
      <w:r>
        <w:rPr>
          <w:bCs/>
          <w:b/>
        </w:rPr>
        <w:t xml:space="preserve">Calculation (Landfill):</w:t>
      </w:r>
      <w:r>
        <w:t xml:space="preserve"> </w:t>
      </w:r>
      <w:r>
        <w:t xml:space="preserve">0.36 kg * 0.3 kgCO2e/kg = 0.108 kgCO2e</w:t>
      </w:r>
    </w:p>
    <w:p>
      <w:pPr>
        <w:numPr>
          <w:ilvl w:val="0"/>
          <w:numId w:val="1012"/>
        </w:numPr>
        <w:pStyle w:val="Compact"/>
      </w:pPr>
      <w:r>
        <w:rPr>
          <w:bCs/>
          <w:b/>
        </w:rPr>
        <w:t xml:space="preserve">Calculation (Recycling Credit):</w:t>
      </w:r>
      <w:r>
        <w:t xml:space="preserve"> </w:t>
      </w:r>
      <w:r>
        <w:t xml:space="preserve">0.54 kg * (-1.0 kgCO2e/kg) = -0.54 kgCO2e</w:t>
      </w:r>
    </w:p>
    <w:p>
      <w:pPr>
        <w:pStyle w:val="FirstParagraph"/>
      </w:pPr>
      <w:r>
        <w:rPr>
          <w:bCs/>
          <w:b/>
        </w:rPr>
        <w:t xml:space="preserve">Subtotal Category 12 Emissions: 0.108 kgCO2e - 0.54 kgCO2e = -0.432 kgCO2e</w:t>
      </w:r>
    </w:p>
    <w:p>
      <w:pPr>
        <w:pStyle w:val="BodyText"/>
      </w:pPr>
      <w:r>
        <w:rPr>
          <w:bCs/>
          <w:b/>
        </w:rPr>
        <w:t xml:space="preserve">Total Scope 3 Emissions:</w:t>
      </w:r>
      <w:r>
        <w:t xml:space="preserve"> </w:t>
      </w:r>
      <w:r>
        <w:t xml:space="preserve">2.75 (Category 1) + 0.12 (Category 4) + 1.00 (Category 9) + 76.65 (Category 11) - 0.432 (Category 12) = 79.94 kgCO2e</w:t>
      </w:r>
    </w:p>
    <w:bookmarkEnd w:id="38"/>
    <w:bookmarkEnd w:id="39"/>
    <w:bookmarkEnd w:id="40"/>
    <w:bookmarkStart w:id="41" w:name="summary-of-pcf-by-scope"/>
    <w:p>
      <w:pPr>
        <w:pStyle w:val="Heading3"/>
      </w:pPr>
      <w:r>
        <w:t xml:space="preserve">5.4. Summary of PCF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Heat, or Steam</w:t>
            </w:r>
          </w:p>
        </w:tc>
        <w:tc>
          <w:tcPr/>
          <w:p>
            <w:pPr>
              <w:pStyle w:val="Compact"/>
              <w:jc w:val="left"/>
            </w:pPr>
            <w:r>
              <w:t xml:space="preserve">3.36</w:t>
            </w:r>
          </w:p>
        </w:tc>
        <w:tc>
          <w:tcPr/>
          <w:p>
            <w:pPr>
              <w:pStyle w:val="Compact"/>
              <w:jc w:val="left"/>
            </w:pPr>
            <w:r>
              <w:t xml:space="preserve">4.03%</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79.94</w:t>
            </w:r>
          </w:p>
        </w:tc>
        <w:tc>
          <w:tcPr/>
          <w:p>
            <w:pPr>
              <w:pStyle w:val="Compact"/>
              <w:jc w:val="left"/>
            </w:pPr>
            <w:r>
              <w:t xml:space="preserve">95.97%</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83.30</w:t>
            </w:r>
          </w:p>
        </w:tc>
        <w:tc>
          <w:tcPr/>
          <w:p>
            <w:pPr>
              <w:pStyle w:val="Compact"/>
              <w:jc w:val="left"/>
            </w:pPr>
            <w:r>
              <w:rPr>
                <w:bCs/>
                <w:b/>
              </w:rPr>
              <w:t xml:space="preserve">100.00%</w:t>
            </w:r>
          </w:p>
        </w:tc>
      </w:tr>
    </w:tbl>
    <w:p>
      <w:r>
        <w:pict>
          <v:rect style="width:0;height:1.5pt" o:hralign="center" o:hrstd="t" o:hr="t"/>
        </w:pict>
      </w:r>
    </w:p>
    <w:bookmarkEnd w:id="41"/>
    <w:bookmarkEnd w:id="42"/>
    <w:bookmarkStart w:id="47" w:name="review-report"/>
    <w:p>
      <w:pPr>
        <w:pStyle w:val="Heading2"/>
      </w:pPr>
      <w:r>
        <w:t xml:space="preserve">6. Review &amp; Report</w:t>
      </w:r>
    </w:p>
    <w:bookmarkStart w:id="43" w:name="ghg-protocol-compliance-2026-lsr-update"/>
    <w:p>
      <w:pPr>
        <w:pStyle w:val="Heading3"/>
      </w:pPr>
      <w:r>
        <w:t xml:space="preserve">6.1. GHG Protocol Compliance &amp; 2026 LSR Update</w:t>
      </w:r>
    </w:p>
    <w:p>
      <w:pPr>
        <w:pStyle w:val="FirstParagraph"/>
      </w:pPr>
      <w:r>
        <w:t xml:space="preserve">This analysis adheres to the GHG Protocol Product Standard and categorizes emissions according to Scope 1, 2, and 3 principles. The inclusion of upstream (raw materials, transport) and downstream (use phase, EoL) impacts ensures a comprehensive \'cradle-to-grave\' assessment. While the Land Sector and Removals (LSR) Standard is a key 2026 update, for this product, xmzsplkdol, and without specific land-use change data (e.g., bio-based materials with certified sustainable sourcing or direct removals projects), direct LSR impacts are considered negligible. The methodology, however, is structured to integrate such data if it becomes available, ensuring future compliance.</w:t>
      </w:r>
    </w:p>
    <w:bookmarkEnd w:id="43"/>
    <w:bookmarkStart w:id="44" w:name="scope-3-compliance-95-coverage"/>
    <w:p>
      <w:pPr>
        <w:pStyle w:val="Heading3"/>
      </w:pPr>
      <w:r>
        <w:t xml:space="preserve">6.2. Scope 3 Compliance (95% Coverage)</w:t>
      </w:r>
    </w:p>
    <w:p>
      <w:pPr>
        <w:pStyle w:val="FirstParagraph"/>
      </w:pPr>
      <w:r>
        <w:t xml:space="preserve">The calculation includes major Scope 3 categories such as Purchased Goods and Services (raw materials), Upstream Transportation and Distribution, Downstream Transportation and Distribution (last-mile), Use of Sold Products, and End-of-Life Treatment of Sold Products. These categories represent the most significant sources of value chain emissions for many manufactured products. Based on the illustrative data, Scope 3 emissions account for approximately 95.97% of the total product carbon footprint, exceeding the 95% coverage requirement for 2026.</w:t>
      </w:r>
    </w:p>
    <w:bookmarkEnd w:id="44"/>
    <w:bookmarkStart w:id="45" w:name="emission-hotspots-and-reliability"/>
    <w:p>
      <w:pPr>
        <w:pStyle w:val="Heading3"/>
      </w:pPr>
      <w:r>
        <w:t xml:space="preserve">6.3. Emission Hotspots and Reliability</w:t>
      </w:r>
    </w:p>
    <w:p>
      <w:pPr>
        <w:pStyle w:val="FirstParagraph"/>
      </w:pPr>
      <w:r>
        <w:t xml:space="preserve">The primary emission hotspot for xmzsplkdol is the **Use Phase (Category 11)**, accounting for approximately 76.65 kgCO2e, or 92% of the total product carbon footprint. This highlights the significant impact of the product\'s energy consumption during its 7-year lifespan. The second largest contributor is the **Purchased Goods and Services (Category 1)**, primarily due to the electronic components and plastic housing, contributing 2.75 kgCO2e. Purchased electricity for production (Scope 2) is also a notable contributor at 3.36 kgCO2e.</w:t>
      </w:r>
    </w:p>
    <w:p>
      <w:pPr>
        <w:pStyle w:val="BodyText"/>
      </w:pPr>
      <w:r>
        <w:t xml:space="preserve">The reliability of this report is directly dependent on the accuracy and completeness of the input data. As several key parameters were provided as generic placeholders, illustrative values from industry averages and representative emission factors (e.g., from Ecoinvent/DEFRA) have been used. While the methodology is robust, a definitive, auditable PCF would require specific, primary data for jqgndpgjuq\'s actual supply chain, production, and waste management processes.</w:t>
      </w:r>
    </w:p>
    <w:bookmarkEnd w:id="45"/>
    <w:bookmarkStart w:id="46" w:name="recommendations-for-emission-reduction"/>
    <w:p>
      <w:pPr>
        <w:pStyle w:val="Heading3"/>
      </w:pPr>
      <w:r>
        <w:t xml:space="preserve">6.4. Recommendations for Emission Reduction</w:t>
      </w:r>
    </w:p>
    <w:p>
      <w:pPr>
        <w:numPr>
          <w:ilvl w:val="0"/>
          <w:numId w:val="1013"/>
        </w:numPr>
        <w:pStyle w:val="Compact"/>
      </w:pPr>
      <w:r>
        <w:rPr>
          <w:bCs/>
          <w:b/>
        </w:rPr>
        <w:t xml:space="preserve">Optimize Use Phase Energy Efficiency:</w:t>
      </w:r>
      <w:r>
        <w:t xml:space="preserve"> </w:t>
      </w:r>
      <w:r>
        <w:t xml:space="preserve">Given the significant impact of the use phase, efforts to reduce the product\'s energy consumption during its operation are paramount. This could involve design changes for higher energy efficiency, promotion of energy-saving habits, or development of lower-carbon energy options for users.</w:t>
      </w:r>
    </w:p>
    <w:p>
      <w:pPr>
        <w:numPr>
          <w:ilvl w:val="0"/>
          <w:numId w:val="1013"/>
        </w:numPr>
        <w:pStyle w:val="Compact"/>
      </w:pPr>
      <w:r>
        <w:rPr>
          <w:bCs/>
          <w:b/>
        </w:rPr>
        <w:t xml:space="preserve">Material Optimization:</w:t>
      </w:r>
      <w:r>
        <w:t xml:space="preserve"> </w:t>
      </w:r>
      <w:r>
        <w:t xml:space="preserve">Explore alternative, lower-carbon materials for the steel casing, plastic housing, and electronic components. Investigate opportunities for increased recycled content in these materials.</w:t>
      </w:r>
    </w:p>
    <w:p>
      <w:pPr>
        <w:numPr>
          <w:ilvl w:val="0"/>
          <w:numId w:val="1013"/>
        </w:numPr>
        <w:pStyle w:val="Compact"/>
      </w:pPr>
      <w:r>
        <w:rPr>
          <w:bCs/>
          <w:b/>
        </w:rPr>
        <w:t xml:space="preserve">Increase Renewable Energy Sourcing:</w:t>
      </w:r>
      <w:r>
        <w:t xml:space="preserve"> </w:t>
      </w:r>
      <w:r>
        <w:t xml:space="preserve">While 30% renewable energy is a good start, increasing this percentage for the production facility in China can further reduce Scope 2 emissions.</w:t>
      </w:r>
    </w:p>
    <w:p>
      <w:pPr>
        <w:numPr>
          <w:ilvl w:val="0"/>
          <w:numId w:val="1013"/>
        </w:numPr>
        <w:pStyle w:val="Compact"/>
      </w:pPr>
      <w:r>
        <w:rPr>
          <w:bCs/>
          <w:b/>
        </w:rPr>
        <w:t xml:space="preserve">Enhance Circularity:</w:t>
      </w:r>
      <w:r>
        <w:t xml:space="preserve"> </w:t>
      </w:r>
      <w:r>
        <w:t xml:space="preserve">The 60% recyclability and existence of take-back programs are positive. Continuously improve collection rates, processing efficiency, and explore options for repair, refurbishment, or remanufacturing to further extend product lifespan and reduce the need for virgin materials.</w:t>
      </w:r>
    </w:p>
    <w:p>
      <w:pPr>
        <w:numPr>
          <w:ilvl w:val="0"/>
          <w:numId w:val="1013"/>
        </w:numPr>
        <w:pStyle w:val="Compact"/>
      </w:pPr>
      <w:r>
        <w:rPr>
          <w:bCs/>
          <w:b/>
        </w:rPr>
        <w:t xml:space="preserve">Supplier Engagement:</w:t>
      </w:r>
      <w:r>
        <w:t xml:space="preserve"> </w:t>
      </w:r>
      <w:r>
        <w:t xml:space="preserve">Collaborate with suppliers to identify and reduce emissions associated with purchased goods and services, particularly for high-impact components.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xmzsplkdol</dc:title>
  <dc:creator/>
  <dc:description>High-detail Product Carbon Footprint (PCF) analysis report for xmzsplkdol, conducted by glmvowvjoy for jqgndpgjuq, adhering to GHG Protocol standards and 2026 LSR updates.</dc:description>
  <dc:language>en</dc:language>
  <cp:keywords/>
  <dcterms:created xsi:type="dcterms:W3CDTF">2026-07-15T13:37:58Z</dcterms:created>
  <dcterms:modified xsi:type="dcterms:W3CDTF">2026-07-15T13:37:58Z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