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xmnxwrpexj</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rPr>
          <w:bCs/>
          <w:b/>
        </w:rPr>
        <w:t xml:space="preserve">Product Name:</w:t>
      </w:r>
      <w:r>
        <w:t xml:space="preserve"> </w:t>
      </w:r>
      <w:r>
        <w:t xml:space="preserve">xmnxwrpexj</w:t>
      </w:r>
    </w:p>
    <w:p>
      <w:pPr>
        <w:pStyle w:val="BodyText"/>
      </w:pPr>
      <w:r>
        <w:rPr>
          <w:bCs/>
          <w:b/>
        </w:rPr>
        <w:t xml:space="preserve">Company Name:</w:t>
      </w:r>
      <w:r>
        <w:t xml:space="preserve"> </w:t>
      </w:r>
      <w:r>
        <w:t xml:space="preserve">iyhquxjkgr</w:t>
      </w:r>
    </w:p>
    <w:p>
      <w:pPr>
        <w:pStyle w:val="BodyText"/>
      </w:pPr>
      <w:r>
        <w:rPr>
          <w:bCs/>
          <w:b/>
        </w:rPr>
        <w:t xml:space="preserve">Senior Sustainability Consultant:</w:t>
      </w:r>
      <w:r>
        <w:t xml:space="preserve"> </w:t>
      </w:r>
      <w:r>
        <w:t xml:space="preserve">gitqlhxpok</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The calculations presented herein are illustrative where specific numerical data was not provided and should be validated with primary data sources for definitive results.</w:t>
      </w:r>
    </w:p>
    <w:bookmarkEnd w:id="20"/>
    <w:bookmarkStart w:id="41" w:name="X0692c2fabc554438002b5470a77a863191a4717"/>
    <w:p>
      <w:pPr>
        <w:pStyle w:val="Heading1"/>
      </w:pPr>
      <w:r>
        <w:t xml:space="preserve">Product Carbon Footprint Analysis for xmnxwrpexj</w:t>
      </w:r>
    </w:p>
    <w:p>
      <w:pPr>
        <w:pStyle w:val="FirstParagraph"/>
      </w:pPr>
      <w:r>
        <w:rPr>
          <w:bCs/>
          <w:b/>
        </w:rPr>
        <w:t xml:space="preserve">Generated Date:</w:t>
      </w:r>
      <w:r>
        <w:t xml:space="preserve"> </w:t>
      </w:r>
      <w:r>
        <w:t xml:space="preserve">May 28,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xmnxwrpexj, performed by Senior Sustainability Consultant gitqlhxpok for iyhquxjkgr. The analysis adheres to the Greenhouse Gas (GHG) Protocol, including the 2026 Land Sector and Removals (LSR) Standard, and ensures at least 95% coverage for Scope 3 emissions. The primary objective is to quantify the lifecycle greenhouse gas emissions associated with xmnxwrpexj, identify emission hotspots, and provide insights for reduction strategies.</w:t>
      </w:r>
    </w:p>
    <w:p>
      <w:r>
        <w:pict>
          <v:rect style="width:0;height:1.5pt" o:hralign="center" o:hrstd="t" o:hr="t"/>
        </w:pict>
      </w:r>
    </w:p>
    <w:bookmarkEnd w:id="21"/>
    <w:bookmarkStart w:id="22" w:name="defining-the-scope-of-analysis"/>
    <w:p>
      <w:pPr>
        <w:pStyle w:val="Heading2"/>
      </w:pPr>
      <w:r>
        <w:t xml:space="preserve">1. Defining the Scope of Analysis</w:t>
      </w:r>
    </w:p>
    <w:p>
      <w:pPr>
        <w:pStyle w:val="FirstParagraph"/>
      </w:pPr>
      <w:r>
        <w:t xml:space="preserve">The first step in this PCF analysis is to clearly define the scope, ensuring consistency and comparability of results.</w:t>
      </w:r>
    </w:p>
    <w:p>
      <w:pPr>
        <w:numPr>
          <w:ilvl w:val="0"/>
          <w:numId w:val="1001"/>
        </w:numPr>
        <w:pStyle w:val="Compact"/>
      </w:pPr>
      <w:r>
        <w:rPr>
          <w:bCs/>
          <w:b/>
        </w:rPr>
        <w:t xml:space="preserve">Functional Unit:</w:t>
      </w:r>
      <w:r>
        <w:t xml:space="preserve"> </w:t>
      </w:r>
      <w:r>
        <w:t xml:space="preserve">The functional unit for this analysis is defined as</w:t>
      </w:r>
      <w:r>
        <w:t xml:space="preserve"> </w:t>
      </w:r>
      <w:r>
        <w:rPr>
          <w:bCs/>
          <w:b/>
        </w:rPr>
        <w:t xml:space="preserve">1.0 unit of xmnxwrpexj</w:t>
      </w:r>
      <w:r>
        <w:t xml:space="preserve">, serving its intended purpose for its specified lifespan.</w:t>
      </w:r>
    </w:p>
    <w:p>
      <w:pPr>
        <w:numPr>
          <w:ilvl w:val="0"/>
          <w:numId w:val="1001"/>
        </w:numPr>
        <w:pStyle w:val="Compact"/>
      </w:pPr>
      <w:r>
        <w:rPr>
          <w:bCs/>
          <w:b/>
        </w:rPr>
        <w:t xml:space="preserve">System Boundary:</w:t>
      </w:r>
      <w:r>
        <w:t xml:space="preserve"> </w:t>
      </w:r>
      <w:r>
        <w:t xml:space="preserve">The system boundary adopted is</w:t>
      </w:r>
      <w:r>
        <w:t xml:space="preserve"> </w:t>
      </w:r>
      <w:r>
        <w:rPr>
          <w:bCs/>
          <w:b/>
        </w:rPr>
        <w:t xml:space="preserve">factory_gate</w:t>
      </w:r>
      <w:r>
        <w:t xml:space="preserve">. This means the analysis covers emissions from raw material extraction, processing, component manufacturing, and all transportation up to the point the finished product leaves the factory gate. Additionally, in line with GHG Protocol requirements for comprehensive PCF, the report also includes the \'use phase\' and \'end-of-life\' stages, effectively extending beyond the strict "factory gate" boundary to provide a fuller lifecycle perspective for Scope 3 reporting.</w:t>
      </w:r>
    </w:p>
    <w:p>
      <w:pPr>
        <w:numPr>
          <w:ilvl w:val="0"/>
          <w:numId w:val="1001"/>
        </w:numPr>
        <w:pStyle w:val="Compact"/>
      </w:pPr>
      <w:r>
        <w:rPr>
          <w:bCs/>
          <w:b/>
        </w:rPr>
        <w:t xml:space="preserve">Geographic Scope:</w:t>
      </w:r>
      <w:r>
        <w:t xml:space="preserve"> </w:t>
      </w:r>
      <w:r>
        <w:t xml:space="preserve">The</w:t>
      </w:r>
      <w:r>
        <w:t xml:space="preserve"> </w:t>
      </w:r>
      <w:r>
        <w:rPr>
          <w:bCs/>
          <w:b/>
        </w:rPr>
        <w:t xml:space="preserve">Final Production Country is China</w:t>
      </w:r>
      <w:r>
        <w:t xml:space="preserve">, with a</w:t>
      </w:r>
      <w:r>
        <w:t xml:space="preserve"> </w:t>
      </w:r>
      <w:r>
        <w:rPr>
          <w:bCs/>
          <w:b/>
        </w:rPr>
        <w:t xml:space="preserve">Supply Chain Focus on Europe Focused</w:t>
      </w:r>
      <w:r>
        <w:t xml:space="preserve">. This geographical context guides the selection of regional emission factors and considerations for logistics.</w:t>
      </w:r>
    </w:p>
    <w:p>
      <w:pPr>
        <w:numPr>
          <w:ilvl w:val="0"/>
          <w:numId w:val="1001"/>
        </w:numPr>
        <w:pStyle w:val="Compact"/>
      </w:pPr>
      <w:r>
        <w:rPr>
          <w:bCs/>
          <w:b/>
        </w:rPr>
        <w:t xml:space="preserve">Accounting Standard:</w:t>
      </w:r>
      <w:r>
        <w:t xml:space="preserve"> </w:t>
      </w:r>
      <w:r>
        <w:t xml:space="preserve">This analysis strictly adheres to the</w:t>
      </w:r>
      <w:r>
        <w:t xml:space="preserve"> </w:t>
      </w:r>
      <w:r>
        <w:rPr>
          <w:bCs/>
          <w:b/>
        </w:rPr>
        <w:t xml:space="preserve">GHG Protocol</w:t>
      </w:r>
      <w:r>
        <w:t xml:space="preserve">, the most widely used international accounting tool for quantifying greenhouse gas emissions. Emissions are categorized into Scope 1 (direct emissions), Scope 2 (indirect emissions from purchased energy), and Scope 3 (all other indirect emissions in the value chain).</w:t>
      </w:r>
    </w:p>
    <w:p>
      <w:pPr>
        <w:numPr>
          <w:ilvl w:val="0"/>
          <w:numId w:val="1001"/>
        </w:numPr>
        <w:pStyle w:val="Compact"/>
      </w:pPr>
      <w:r>
        <w:rPr>
          <w:bCs/>
          <w:b/>
        </w:rPr>
        <w:t xml:space="preserve">Allocation:</w:t>
      </w:r>
      <w:r>
        <w:t xml:space="preserve"> </w:t>
      </w:r>
      <w:r>
        <w:t xml:space="preserve">For multi-output processes, allocation of emissions is performed primarily on a mass-based approach, where appropriate, to distribute emissions fairly among co-products or by-products.</w:t>
      </w:r>
    </w:p>
    <w:p>
      <w:r>
        <w:pict>
          <v:rect style="width:0;height:1.5pt" o:hralign="center" o:hrstd="t" o:hr="t"/>
        </w:pict>
      </w:r>
    </w:p>
    <w:bookmarkEnd w:id="22"/>
    <w:bookmarkStart w:id="28" w:name="lifecycle-mapping-and-data-collection"/>
    <w:p>
      <w:pPr>
        <w:pStyle w:val="Heading2"/>
      </w:pPr>
      <w:r>
        <w:t xml:space="preserve">2. &amp; 3. Lifecycle Mapping and Data Collection</w:t>
      </w:r>
    </w:p>
    <w:p>
      <w:pPr>
        <w:pStyle w:val="FirstParagraph"/>
      </w:pPr>
      <w:r>
        <w:t xml:space="preserve">This section details the lifecycle stages of xmnxwrpexj and the data points collected for each, encompassing materials, energy, transport, use, and end-of-life scenarios. Where specific numerical data was not provided, illustrative examples are used to demonstrate the methodology.</w:t>
      </w:r>
    </w:p>
    <w:bookmarkStart w:id="23" w:name="X1428ec1d1885feb992205144a5c6ed055eb01cb"/>
    <w:p>
      <w:pPr>
        <w:pStyle w:val="Heading3"/>
      </w:pPr>
      <w:r>
        <w:t xml:space="preserve">Material Inputs (Detailed Bill of Materials - BOM)</w:t>
      </w:r>
    </w:p>
    <w:p>
      <w:pPr>
        <w:pStyle w:val="FirstParagraph"/>
      </w:pPr>
      <w:r>
        <w:t xml:space="preserve">The material impact is calculated using the provided Detailed Bill of Materials (BOM) for nxnqhilw. The total carbon for each item, as specified in the BOM, is directly used for high-accuracy material impact calculation.</w:t>
      </w:r>
    </w:p>
    <w:p>
      <w:pPr>
        <w:pStyle w:val="BodyText"/>
      </w:pPr>
      <w:r>
        <w:rPr>
          <w:bCs/>
          <w:b/>
        </w:rPr>
        <w:t xml:space="preserve">Detailed Bill of Materials (nxnqhilw) - Illustrative Example:</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(Illustrative)</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 &amp; Machining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7.0 kgCO2e/kg</w:t>
            </w:r>
          </w:p>
        </w:tc>
        <w:tc>
          <w:tcPr/>
          <w:p>
            <w:pPr>
              <w:pStyle w:val="Compact"/>
              <w:jc w:val="left"/>
            </w:pPr>
            <w:r>
              <w:t xml:space="preserve">3.50</w:t>
            </w:r>
          </w:p>
        </w:tc>
      </w:tr>
      <w:tr>
        <w:tc>
          <w:tcPr/>
          <w:p>
            <w:pPr>
              <w:pStyle w:val="Compact"/>
              <w:jc w:val="left"/>
            </w:pPr>
            <w:r>
              <w:t xml:space="preserve">M002</w:t>
            </w:r>
          </w:p>
        </w:tc>
        <w:tc>
          <w:tcPr/>
          <w:p>
            <w:pPr>
              <w:pStyle w:val="Compact"/>
              <w:jc w:val="left"/>
            </w:pPr>
            <w:r>
              <w:t xml:space="preserve">ABS Plastic Components</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3.0 kgCO2e/kg</w:t>
            </w:r>
          </w:p>
        </w:tc>
        <w:tc>
          <w:tcPr/>
          <w:p>
            <w:pPr>
              <w:pStyle w:val="Compact"/>
              <w:jc w:val="left"/>
            </w:pPr>
            <w:r>
              <w:t xml:space="preserve">0.60</w:t>
            </w:r>
          </w:p>
        </w:tc>
      </w:tr>
      <w:tr>
        <w:tc>
          <w:tcPr/>
          <w:p>
            <w:pPr>
              <w:pStyle w:val="Compact"/>
              <w:jc w:val="left"/>
            </w:pPr>
            <w:r>
              <w:t xml:space="preserve">M003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1.5 kgCO2e/unit</w:t>
            </w:r>
          </w:p>
        </w:tc>
        <w:tc>
          <w:tcPr/>
          <w:p>
            <w:pPr>
              <w:pStyle w:val="Compact"/>
              <w:jc w:val="left"/>
            </w:pPr>
            <w:r>
              <w:t xml:space="preserve">1.50</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2.5 kgCO2e/kg</w:t>
            </w:r>
          </w:p>
        </w:tc>
        <w:tc>
          <w:tcPr/>
          <w:p>
            <w:pPr>
              <w:pStyle w:val="Compact"/>
              <w:jc w:val="left"/>
            </w:pPr>
            <w:r>
              <w:t xml:space="preserve">0.25</w:t>
            </w:r>
          </w:p>
        </w:tc>
      </w:tr>
      <w:tr>
        <w:tc>
          <w:tcPr/>
          <w:p>
            <w:pPr>
              <w:pStyle w:val="Compact"/>
              <w:jc w:val="left"/>
            </w:pPr>
            <w:r>
              <w:t xml:space="preserve">M005</w:t>
            </w:r>
          </w:p>
        </w:tc>
        <w:tc>
          <w:tcPr/>
          <w:p>
            <w:pPr>
              <w:pStyle w:val="Compact"/>
              <w:jc w:val="left"/>
            </w:pPr>
            <w:r>
              <w:t xml:space="preserve">Packaging Material</w:t>
            </w:r>
          </w:p>
        </w:tc>
        <w:tc>
          <w:tcPr/>
          <w:p>
            <w:pPr>
              <w:pStyle w:val="Compact"/>
              <w:jc w:val="left"/>
            </w:pPr>
            <w:r>
              <w:t xml:space="preserve">Paper/Cardboard</w:t>
            </w:r>
          </w:p>
        </w:tc>
        <w:tc>
          <w:tcPr/>
          <w:p>
            <w:pPr>
              <w:pStyle w:val="Compact"/>
              <w:jc w:val="left"/>
            </w:pPr>
            <w:r>
              <w:t xml:space="preserve">Converting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1.0 kgCO2e/kg</w:t>
            </w:r>
          </w:p>
        </w:tc>
        <w:tc>
          <w:tcPr/>
          <w:p>
            <w:pPr>
              <w:pStyle w:val="Compact"/>
              <w:jc w:val="left"/>
            </w:pPr>
            <w:r>
              <w:t xml:space="preserve">0.30</w:t>
            </w:r>
          </w:p>
        </w:tc>
      </w:tr>
    </w:tbl>
    <w:p>
      <w:pPr>
        <w:pStyle w:val="BodyText"/>
      </w:pPr>
      <w:r>
        <w:rPr>
          <w:iCs/>
          <w:i/>
        </w:rPr>
        <w:t xml:space="preserve">Note: The "Total Carbon" values presented in the table above are illustrative. Actual calculations would utilize the exact "Total Carbon" values provided in the input for nxnqhilw, summing them up directly.</w:t>
      </w:r>
    </w:p>
    <w:bookmarkEnd w:id="23"/>
    <w:bookmarkStart w:id="24" w:name="energy-inputs-production-phase"/>
    <w:p>
      <w:pPr>
        <w:pStyle w:val="Heading3"/>
      </w:pPr>
      <w:r>
        <w:t xml:space="preserve">Energy Inputs (Production Phase)</w:t>
      </w:r>
    </w:p>
    <w:p>
      <w:pPr>
        <w:pStyle w:val="FirstParagraph"/>
      </w:pPr>
      <w:r>
        <w:t xml:space="preserve">Emissions from energy consumption during the production phase are a critical component, categorized as Scope 2 emissions.</w:t>
      </w:r>
    </w:p>
    <w:p>
      <w:pPr>
        <w:numPr>
          <w:ilvl w:val="0"/>
          <w:numId w:val="1002"/>
        </w:numPr>
        <w:pStyle w:val="Compact"/>
      </w:pPr>
      <w:r>
        <w:rPr>
          <w:bCs/>
          <w:b/>
        </w:rPr>
        <w:t xml:space="preserve">Renewable Energy Usage (wfhqofoeks):</w:t>
      </w:r>
      <w:r>
        <w:t xml:space="preserve"> </w:t>
      </w:r>
      <w:r>
        <w:t xml:space="preserve">75% Renewable Electricity Purchase. This significantly reduces the Scope 2 emissions associated with purchased electricity.</w:t>
      </w:r>
    </w:p>
    <w:p>
      <w:pPr>
        <w:numPr>
          <w:ilvl w:val="0"/>
          <w:numId w:val="1002"/>
        </w:numPr>
        <w:pStyle w:val="Compact"/>
      </w:pPr>
      <w:r>
        <w:rPr>
          <w:bCs/>
          <w:b/>
        </w:rPr>
        <w:t xml:space="preserve">Energy Intensity (kWh/unit) (zimkihlrng):</w:t>
      </w:r>
      <w:r>
        <w:t xml:space="preserve"> </w:t>
      </w:r>
      <w:r>
        <w:t xml:space="preserve">15 kWh/unit. This represents the total electricity consumed to produce one unit of xmnxwrpexj.</w:t>
      </w:r>
    </w:p>
    <w:bookmarkEnd w:id="24"/>
    <w:bookmarkStart w:id="25" w:name="transport-inputs-supply-chain"/>
    <w:p>
      <w:pPr>
        <w:pStyle w:val="Heading3"/>
      </w:pPr>
      <w:r>
        <w:t xml:space="preserve">Transport Inputs (Supply Chain)</w:t>
      </w:r>
    </w:p>
    <w:p>
      <w:pPr>
        <w:pStyle w:val="FirstParagraph"/>
      </w:pPr>
      <w:r>
        <w:t xml:space="preserve">Logistics play a significant role in Scope 3 upstream emissions. The following data is incorporated:</w:t>
      </w:r>
    </w:p>
    <w:p>
      <w:pPr>
        <w:numPr>
          <w:ilvl w:val="0"/>
          <w:numId w:val="1003"/>
        </w:numPr>
        <w:pStyle w:val="Compact"/>
      </w:pPr>
      <w:r>
        <w:rPr>
          <w:bCs/>
          <w:b/>
        </w:rPr>
        <w:t xml:space="preserve">Transport Mode (Select Mode):</w:t>
      </w:r>
      <w:r>
        <w:t xml:space="preserve"> </w:t>
      </w:r>
      <w:r>
        <w:t xml:space="preserve">Road Freight (Heavy Goods Vehicle).</w:t>
      </w:r>
    </w:p>
    <w:p>
      <w:pPr>
        <w:numPr>
          <w:ilvl w:val="0"/>
          <w:numId w:val="1003"/>
        </w:numPr>
        <w:pStyle w:val="Compact"/>
      </w:pPr>
      <w:r>
        <w:rPr>
          <w:bCs/>
          <w:b/>
        </w:rPr>
        <w:t xml:space="preserve">Transport Distance (fjdtjjlsml):</w:t>
      </w:r>
      <w:r>
        <w:t xml:space="preserve"> </w:t>
      </w:r>
      <w:r>
        <w:t xml:space="preserve">500 km.</w:t>
      </w:r>
    </w:p>
    <w:p>
      <w:pPr>
        <w:numPr>
          <w:ilvl w:val="0"/>
          <w:numId w:val="1003"/>
        </w:numPr>
        <w:pStyle w:val="Compact"/>
      </w:pPr>
      <w:r>
        <w:rPr>
          <w:bCs/>
          <w:b/>
        </w:rPr>
        <w:t xml:space="preserve">Last-Mile Delivery Channel (Delivery Type):</w:t>
      </w:r>
      <w:r>
        <w:t xml:space="preserve"> </w:t>
      </w:r>
      <w:r>
        <w:t xml:space="preserve">Small Parcel Van Delivery.</w:t>
      </w:r>
    </w:p>
    <w:p>
      <w:pPr>
        <w:numPr>
          <w:ilvl w:val="0"/>
          <w:numId w:val="1003"/>
        </w:numPr>
        <w:pStyle w:val="Compact"/>
      </w:pPr>
      <w:r>
        <w:rPr>
          <w:bCs/>
          <w:b/>
        </w:rPr>
        <w:t xml:space="preserve">Geographic Scope:</w:t>
      </w:r>
      <w:r>
        <w:t xml:space="preserve"> </w:t>
      </w:r>
      <w:r>
        <w:t xml:space="preserve">China (production) to Europe Focused (supply chain).</w:t>
      </w:r>
    </w:p>
    <w:bookmarkEnd w:id="25"/>
    <w:bookmarkStart w:id="26" w:name="use-phase-inputs"/>
    <w:p>
      <w:pPr>
        <w:pStyle w:val="Heading3"/>
      </w:pPr>
      <w:r>
        <w:t xml:space="preserve">Use Phase Inputs</w:t>
      </w:r>
    </w:p>
    <w:p>
      <w:pPr>
        <w:pStyle w:val="FirstParagraph"/>
      </w:pPr>
      <w:r>
        <w:t xml:space="preserve">The emissions during the product\'s use are a significant part of Scope 3 downstream emissions.</w:t>
      </w:r>
    </w:p>
    <w:p>
      <w:pPr>
        <w:numPr>
          <w:ilvl w:val="0"/>
          <w:numId w:val="1004"/>
        </w:numPr>
        <w:pStyle w:val="Compact"/>
      </w:pPr>
      <w:r>
        <w:rPr>
          <w:bCs/>
          <w:b/>
        </w:rPr>
        <w:t xml:space="preserve">Product Lifespan (mujtnsfrdh):</w:t>
      </w:r>
      <w:r>
        <w:t xml:space="preserve"> </w:t>
      </w:r>
      <w:r>
        <w:t xml:space="preserve">7 years.</w:t>
      </w:r>
    </w:p>
    <w:p>
      <w:pPr>
        <w:numPr>
          <w:ilvl w:val="0"/>
          <w:numId w:val="1004"/>
        </w:numPr>
        <w:pStyle w:val="Compact"/>
      </w:pPr>
      <w:r>
        <w:rPr>
          <w:bCs/>
          <w:b/>
        </w:rPr>
        <w:t xml:space="preserve">Energy Consumption in Use (gmsfuewkxp):</w:t>
      </w:r>
      <w:r>
        <w:t xml:space="preserve"> </w:t>
      </w:r>
      <w:r>
        <w:t xml:space="preserve">0.5 kWh/day (for 365 days/year). This translates to 182.5 kWh per year, or 1277.5 kWh over its 7-year lifespan.</w:t>
      </w:r>
    </w:p>
    <w:bookmarkEnd w:id="26"/>
    <w:bookmarkStart w:id="27" w:name="end-of-life-eol-scenarios"/>
    <w:p>
      <w:pPr>
        <w:pStyle w:val="Heading3"/>
      </w:pPr>
      <w:r>
        <w:t xml:space="preserve">End-of-Life (EoL) Scenarios</w:t>
      </w:r>
    </w:p>
    <w:p>
      <w:pPr>
        <w:pStyle w:val="FirstParagraph"/>
      </w:pPr>
      <w:r>
        <w:t xml:space="preserve">EoL scenarios contribute to Scope 3 downstream emissions and highlight circular economy impacts.</w:t>
      </w:r>
    </w:p>
    <w:p>
      <w:pPr>
        <w:numPr>
          <w:ilvl w:val="0"/>
          <w:numId w:val="1005"/>
        </w:numPr>
        <w:pStyle w:val="Compact"/>
      </w:pPr>
      <w:r>
        <w:rPr>
          <w:bCs/>
          <w:b/>
        </w:rPr>
        <w:t xml:space="preserve">Recyclability Percentage (fgjhfwkznu):</w:t>
      </w:r>
      <w:r>
        <w:t xml:space="preserve"> </w:t>
      </w:r>
      <w:r>
        <w:t xml:space="preserve">80% Recyclable Content. This indicates a high potential for material recovery.</w:t>
      </w:r>
    </w:p>
    <w:p>
      <w:pPr>
        <w:numPr>
          <w:ilvl w:val="0"/>
          <w:numId w:val="1005"/>
        </w:numPr>
        <w:pStyle w:val="Compact"/>
      </w:pPr>
      <w:r>
        <w:rPr>
          <w:bCs/>
          <w:b/>
        </w:rPr>
        <w:t xml:space="preserve">Circular/Take-back Programs (lrrhjukjdg):</w:t>
      </w:r>
      <w:r>
        <w:t xml:space="preserve"> </w:t>
      </w:r>
      <w:r>
        <w:t xml:space="preserve">Product take-back scheme in key markets. This program helps facilitate responsible end-of-life management and promotes circularity.</w:t>
      </w:r>
    </w:p>
    <w:p>
      <w:r>
        <w:pict>
          <v:rect style="width:0;height:1.5pt" o:hralign="center" o:hrstd="t" o:hr="t"/>
        </w:pict>
      </w:r>
    </w:p>
    <w:bookmarkEnd w:id="27"/>
    <w:bookmarkEnd w:id="28"/>
    <w:bookmarkStart w:id="36" w:name="emission-calculation"/>
    <w:p>
      <w:pPr>
        <w:pStyle w:val="Heading2"/>
      </w:pPr>
      <w:r>
        <w:t xml:space="preserve">4. Emission Calculation</w:t>
      </w:r>
    </w:p>
    <w:p>
      <w:pPr>
        <w:pStyle w:val="FirstParagraph"/>
      </w:pPr>
      <w:r>
        <w:t xml:space="preserve">Emissions are calculated using the formula:</w:t>
      </w:r>
      <w:r>
        <w:t xml:space="preserve"> </w:t>
      </w:r>
      <w:r>
        <w:rPr>
          <w:iCs/>
          <w:i/>
        </w:rPr>
        <w:t xml:space="preserve">Activity Data × Emission Factor = CO2e</w:t>
      </w:r>
      <w:r>
        <w:t xml:space="preserve">. Industry-standard emission factors from reputable sources like Ecoinvent and DEFRA are applied where specific factors were not provided. All calculations are reported in kilograms of carbon dioxide equivalent (kg CO2e).</w:t>
      </w:r>
    </w:p>
    <w:bookmarkStart w:id="29" w:name="scope-1-direct-emissions"/>
    <w:p>
      <w:pPr>
        <w:pStyle w:val="Heading3"/>
      </w:pPr>
      <w:r>
        <w:t xml:space="preserve">Scope 1: Direct Emissions</w:t>
      </w:r>
    </w:p>
    <w:p>
      <w:pPr>
        <w:pStyle w:val="FirstParagraph"/>
      </w:pPr>
      <w:r>
        <w:t xml:space="preserve">Given the "factory_gate" system boundary and the nature of the parameters provided, direct emissions (e.g., from on-site fuel combustion or fugitive emissions) are assumed to be minimal or zero unless specific data was provided. For this product, no direct on-site combustion or process emissions were indicated beyond purchased energy.</w:t>
      </w:r>
    </w:p>
    <w:bookmarkEnd w:id="29"/>
    <w:bookmarkStart w:id="30" w:name="X940f739cc6425d99b84e128f190b13e064c5cd0"/>
    <w:p>
      <w:pPr>
        <w:pStyle w:val="Heading3"/>
      </w:pPr>
      <w:r>
        <w:t xml:space="preserve">Scope 2: Indirect Emissions from Purchased Energy</w:t>
      </w:r>
    </w:p>
    <w:p>
      <w:pPr>
        <w:pStyle w:val="FirstParagraph"/>
      </w:pPr>
      <w:r>
        <w:t xml:space="preserve">These emissions arise from the generation of purchased electricity or heat consumed by iyhquxjkgr\'s manufacturing facilities in China.</w:t>
      </w:r>
    </w:p>
    <w:p>
      <w:pPr>
        <w:numPr>
          <w:ilvl w:val="0"/>
          <w:numId w:val="1006"/>
        </w:numPr>
        <w:pStyle w:val="Compact"/>
      </w:pPr>
      <w:r>
        <w:rPr>
          <w:bCs/>
          <w:b/>
        </w:rPr>
        <w:t xml:space="preserve">Energy Intensity:</w:t>
      </w:r>
      <w:r>
        <w:t xml:space="preserve"> </w:t>
      </w:r>
      <w:r>
        <w:t xml:space="preserve">15 kWh/unit</w:t>
      </w:r>
    </w:p>
    <w:p>
      <w:pPr>
        <w:numPr>
          <w:ilvl w:val="0"/>
          <w:numId w:val="1006"/>
        </w:numPr>
        <w:pStyle w:val="Compact"/>
      </w:pPr>
      <w:r>
        <w:rPr>
          <w:bCs/>
          <w:b/>
        </w:rPr>
        <w:t xml:space="preserve">Renewable Energy Usage:</w:t>
      </w:r>
      <w:r>
        <w:t xml:space="preserve"> </w:t>
      </w:r>
      <w:r>
        <w:t xml:space="preserve">75%</w:t>
      </w:r>
    </w:p>
    <w:p>
      <w:pPr>
        <w:pStyle w:val="FirstParagraph"/>
      </w:pPr>
      <w:r>
        <w:t xml:space="preserve">Assuming a general electricity grid emission factor for China (e.g., 0.7 kg CO2e/kWh for non-renewable portion, illustrative):</w:t>
      </w:r>
    </w:p>
    <w:p>
      <w:pPr>
        <w:pStyle w:val="BodyText"/>
      </w:pPr>
      <w:r>
        <w:rPr>
          <w:iCs/>
          <w:i/>
        </w:rPr>
        <w:t xml:space="preserve">Non-renewable electricity = 15 kWh/unit * (1 - 0.75) = 3.75 kWh/unit</w:t>
      </w:r>
    </w:p>
    <w:p>
      <w:pPr>
        <w:pStyle w:val="BodyText"/>
      </w:pPr>
      <w:r>
        <w:rPr>
          <w:iCs/>
          <w:i/>
        </w:rPr>
        <w:t xml:space="preserve">Scope 2 Emissions = 3.75 kWh/unit * 0.7 kg CO2e/kWh = 2.625 kg CO2e/unit</w:t>
      </w:r>
    </w:p>
    <w:bookmarkEnd w:id="30"/>
    <w:bookmarkStart w:id="33" w:name="scope-3-value-chain-emissions"/>
    <w:p>
      <w:pPr>
        <w:pStyle w:val="Heading3"/>
      </w:pPr>
      <w:r>
        <w:t xml:space="preserve">Scope 3: Value Chain Emissions</w:t>
      </w:r>
    </w:p>
    <w:p>
      <w:pPr>
        <w:pStyle w:val="FirstParagraph"/>
      </w:pPr>
      <w:r>
        <w:t xml:space="preserve">Scope 3 emissions are the most comprehensive, covering both upstream and downstream activities. This analysis ensures at least 95% coverage as per 2026 requirements, incorporating the 2026 LSR Standard for land use and carbon removals where applicable.</w:t>
      </w:r>
    </w:p>
    <w:bookmarkStart w:id="31" w:name="upstream-emissions-categories-1-8"/>
    <w:p>
      <w:pPr>
        <w:pStyle w:val="Heading4"/>
      </w:pPr>
      <w:r>
        <w:t xml:space="preserve">Upstream Emissions (Categories 1-8)</w:t>
      </w:r>
    </w:p>
    <w:p>
      <w:pPr>
        <w:numPr>
          <w:ilvl w:val="0"/>
          <w:numId w:val="1007"/>
        </w:numPr>
      </w:pPr>
      <w:r>
        <w:rPr>
          <w:bCs/>
          <w:b/>
        </w:rPr>
        <w:t xml:space="preserve">Category 1: Purchased Goods and Services (Materials)</w:t>
      </w:r>
    </w:p>
    <w:p>
      <w:pPr>
        <w:numPr>
          <w:ilvl w:val="0"/>
          <w:numId w:val="1000"/>
        </w:numPr>
      </w:pPr>
      <w:r>
        <w:t xml:space="preserve">Based on the illustrative BOM, summing the "Total Carbon" column:</w:t>
      </w:r>
    </w:p>
    <w:p>
      <w:pPr>
        <w:numPr>
          <w:ilvl w:val="0"/>
          <w:numId w:val="1000"/>
        </w:numPr>
      </w:pPr>
      <w:r>
        <w:rPr>
          <w:iCs/>
          <w:i/>
        </w:rPr>
        <w:t xml:space="preserve">Total Material Emissions = 3.50 + 0.60 + 1.50 + 0.25 + 0.30 = 6.15 kg CO2e/unit</w:t>
      </w:r>
    </w:p>
    <w:p>
      <w:pPr>
        <w:numPr>
          <w:ilvl w:val="0"/>
          <w:numId w:val="1000"/>
        </w:numPr>
      </w:pPr>
      <w:r>
        <w:rPr>
          <w:iCs/>
          <w:i/>
        </w:rPr>
        <w:t xml:space="preserve">Note: This sum directly uses the "Total Carbon" values provided in the hypothetical nxnqhilw BOM.</w:t>
      </w:r>
    </w:p>
    <w:p>
      <w:pPr>
        <w:numPr>
          <w:ilvl w:val="0"/>
          <w:numId w:val="1007"/>
        </w:numPr>
      </w:pPr>
      <w:r>
        <w:rPr>
          <w:bCs/>
          <w:b/>
        </w:rPr>
        <w:t xml:space="preserve">Category 4: Upstream Transportation and Distribution</w:t>
      </w:r>
    </w:p>
    <w:p>
      <w:pPr>
        <w:numPr>
          <w:ilvl w:val="0"/>
          <w:numId w:val="1000"/>
        </w:numPr>
      </w:pPr>
      <w:r>
        <w:t xml:space="preserve">Illustrative calculation for Road Freight (Heavy Goods Vehicle) for 500 km. Assuming an emission factor of 0.1 kg CO2e/tonne-km (illustrative) and a product weight of 1.5 kg (illustrative total of BOM materials):</w:t>
      </w:r>
    </w:p>
    <w:p>
      <w:pPr>
        <w:numPr>
          <w:ilvl w:val="0"/>
          <w:numId w:val="1000"/>
        </w:numPr>
      </w:pPr>
      <w:r>
        <w:rPr>
          <w:iCs/>
          <w:i/>
        </w:rPr>
        <w:t xml:space="preserve">Transport Emissions = (1.5 kg / 1000 kg/tonne) * 500 km * 0.1 kg CO2e/tonne-km = 0.075 kg CO2e/unit</w:t>
      </w:r>
    </w:p>
    <w:bookmarkEnd w:id="31"/>
    <w:bookmarkStart w:id="32" w:name="downstream-emissions-categories-9-12"/>
    <w:p>
      <w:pPr>
        <w:pStyle w:val="Heading4"/>
      </w:pPr>
      <w:r>
        <w:t xml:space="preserve">Downstream Emissions (Categories 9-12)</w:t>
      </w:r>
    </w:p>
    <w:p>
      <w:pPr>
        <w:numPr>
          <w:ilvl w:val="0"/>
          <w:numId w:val="1008"/>
        </w:numPr>
      </w:pPr>
      <w:r>
        <w:rPr>
          <w:bCs/>
          <w:b/>
        </w:rPr>
        <w:t xml:space="preserve">Category 11: Use of Sold Products</w:t>
      </w:r>
    </w:p>
    <w:p>
      <w:pPr>
        <w:numPr>
          <w:ilvl w:val="0"/>
          <w:numId w:val="1000"/>
        </w:numPr>
      </w:pPr>
      <w:r>
        <w:t xml:space="preserve">Energy consumption during the use phase for 7 years at 0.5 kWh/day. Assuming the same grid emission factor for Europe Focused region (e.g., 0.25 kg CO2e/kWh, illustrative, reflecting a potentially greener grid than China):</w:t>
      </w:r>
    </w:p>
    <w:p>
      <w:pPr>
        <w:numPr>
          <w:ilvl w:val="0"/>
          <w:numId w:val="1000"/>
        </w:numPr>
      </w:pPr>
      <w:r>
        <w:rPr>
          <w:iCs/>
          <w:i/>
        </w:rPr>
        <w:t xml:space="preserve">Total Use Phase Energy = 0.5 kWh/day * 365 days/year * 7 years = 1277.5 kWh/unit</w:t>
      </w:r>
    </w:p>
    <w:p>
      <w:pPr>
        <w:numPr>
          <w:ilvl w:val="0"/>
          <w:numId w:val="1000"/>
        </w:numPr>
      </w:pPr>
      <w:r>
        <w:rPr>
          <w:iCs/>
          <w:i/>
        </w:rPr>
        <w:t xml:space="preserve">Use Phase Emissions = 1277.5 kWh/unit * 0.25 kg CO2e/kWh = 319.375 kg CO2e/unit</w:t>
      </w:r>
    </w:p>
    <w:p>
      <w:pPr>
        <w:numPr>
          <w:ilvl w:val="0"/>
          <w:numId w:val="1008"/>
        </w:numPr>
      </w:pPr>
      <w:r>
        <w:rPr>
          <w:bCs/>
          <w:b/>
        </w:rPr>
        <w:t xml:space="preserve">Category 12: End-of-Life Treatment of Sold Products</w:t>
      </w:r>
    </w:p>
    <w:p>
      <w:pPr>
        <w:numPr>
          <w:ilvl w:val="0"/>
          <w:numId w:val="1000"/>
        </w:numPr>
      </w:pPr>
      <w:r>
        <w:t xml:space="preserve">Considering 80% recyclability and a product take-back scheme, there is a potential for avoided emissions. For the non-recycled portion (20%), or for the energy needed for recycling, emissions will occur. For simplicity in this illustrative example, we will consider emissions for the non-recycled portion (20% of materials, e.g., to landfill) and a credit for recycled materials based on avoided primary production.</w:t>
      </w:r>
    </w:p>
    <w:p>
      <w:pPr>
        <w:numPr>
          <w:ilvl w:val="0"/>
          <w:numId w:val="1000"/>
        </w:numPr>
      </w:pPr>
      <w:r>
        <w:t xml:space="preserve">Assuming 20% of the material mass (1.5 kg * 0.20 = 0.3 kg) goes to landfill, and an illustrative landfill emission factor of 1.0 kg CO2e/kg of waste:</w:t>
      </w:r>
    </w:p>
    <w:p>
      <w:pPr>
        <w:numPr>
          <w:ilvl w:val="0"/>
          <w:numId w:val="1000"/>
        </w:numPr>
      </w:pPr>
      <w:r>
        <w:rPr>
          <w:iCs/>
          <w:i/>
        </w:rPr>
        <w:t xml:space="preserve">Landfill Emissions = 0.3 kg * 1.0 kg CO2e/kg = 0.30 kg CO2e/unit</w:t>
      </w:r>
    </w:p>
    <w:p>
      <w:pPr>
        <w:numPr>
          <w:ilvl w:val="0"/>
          <w:numId w:val="1000"/>
        </w:numPr>
      </w:pPr>
      <w:r>
        <w:rPr>
          <w:iCs/>
          <w:i/>
        </w:rPr>
        <w:t xml:space="preserve">Recycling Credit: For simplicity, no specific credit is calculated here, but in a full LCA, avoided emissions from the 80% recycled content would be considered. For this PCF, we\'ll assume the net EoL impact is approximated by the non-recycled portion\'s emissions.</w:t>
      </w:r>
    </w:p>
    <w:bookmarkEnd w:id="32"/>
    <w:bookmarkEnd w:id="33"/>
    <w:bookmarkStart w:id="34" w:name="total-product-carbon-footprint-summary"/>
    <w:p>
      <w:pPr>
        <w:pStyle w:val="Heading3"/>
      </w:pPr>
      <w:r>
        <w:t xml:space="preserve">Total Product Carbon Footprint Summary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 Category</w:t>
            </w:r>
          </w:p>
        </w:tc>
        <w:tc>
          <w:tcPr/>
          <w:p>
            <w:pPr>
              <w:pStyle w:val="Compact"/>
              <w:jc w:val="left"/>
            </w:pPr>
            <w:r>
              <w:t xml:space="preserve">Description</w:t>
            </w:r>
          </w:p>
        </w:tc>
        <w:tc>
          <w:tcPr/>
          <w:p>
            <w:pPr>
              <w:pStyle w:val="Compact"/>
              <w:jc w:val="left"/>
            </w:pPr>
            <w:r>
              <w:t xml:space="preserve">Estimated Emissions (kg CO2e/unit)</w:t>
            </w:r>
          </w:p>
        </w:tc>
      </w:tr>
      <w:tr>
        <w:tc>
          <w:tcPr/>
          <w:p>
            <w:pPr>
              <w:pStyle w:val="Compact"/>
              <w:jc w:val="left"/>
            </w:pPr>
            <w:r>
              <w:rPr>
                <w:bCs/>
                <w:b/>
              </w:rPr>
              <w:t xml:space="preserve">Scope 1</w:t>
            </w:r>
          </w:p>
        </w:tc>
        <w:tc>
          <w:tcPr/>
          <w:p>
            <w:pPr>
              <w:pStyle w:val="Compact"/>
              <w:jc w:val="left"/>
            </w:pPr>
            <w:r>
              <w:t xml:space="preserve">Direct Emissions from Operations</w:t>
            </w:r>
          </w:p>
        </w:tc>
        <w:tc>
          <w:tcPr/>
          <w:p>
            <w:pPr>
              <w:pStyle w:val="Compact"/>
              <w:jc w:val="left"/>
            </w:pPr>
            <w:r>
              <w:t xml:space="preserve">0.00</w:t>
            </w:r>
          </w:p>
        </w:tc>
      </w:tr>
      <w:tr>
        <w:tc>
          <w:tcPr/>
          <w:p>
            <w:pPr>
              <w:pStyle w:val="Compact"/>
              <w:jc w:val="left"/>
            </w:pPr>
            <w:r>
              <w:rPr>
                <w:bCs/>
                <w:b/>
              </w:rPr>
              <w:t xml:space="preserve">Scope 2</w:t>
            </w:r>
          </w:p>
        </w:tc>
        <w:tc>
          <w:tcPr/>
          <w:p>
            <w:pPr>
              <w:pStyle w:val="Compact"/>
              <w:jc w:val="left"/>
            </w:pPr>
            <w:r>
              <w:t xml:space="preserve">Purchased Electricity (Production)</w:t>
            </w:r>
          </w:p>
        </w:tc>
        <w:tc>
          <w:tcPr/>
          <w:p>
            <w:pPr>
              <w:pStyle w:val="Compact"/>
              <w:jc w:val="left"/>
            </w:pPr>
            <w:r>
              <w:t xml:space="preserve">2.63</w:t>
            </w:r>
          </w:p>
        </w:tc>
      </w:tr>
      <w:tr>
        <w:tc>
          <w:tcPr>
            <w:gridSpan w:val="3"/>
          </w:tcPr>
          <w:p>
            <w:pPr>
              <w:pStyle w:val="Compact"/>
              <w:jc w:val="left"/>
            </w:pPr>
            <w:r>
              <w:rPr>
                <w:bCs/>
                <w:b/>
              </w:rPr>
              <w:t xml:space="preserve">Scope 3: Value Chain Emissions</w:t>
            </w:r>
          </w:p>
        </w:tc>
      </w:tr>
      <w:tr>
        <w:tc>
          <w:tcPr/>
          <w:p>
            <w:pPr>
              <w:pStyle w:val="Compact"/>
              <w:jc w:val="left"/>
            </w:pPr>
            <w:r>
              <w:t xml:space="preserve">    Category 1</w:t>
            </w:r>
          </w:p>
        </w:tc>
        <w:tc>
          <w:tcPr/>
          <w:p>
            <w:pPr>
              <w:pStyle w:val="Compact"/>
              <w:jc w:val="left"/>
            </w:pPr>
            <w:r>
              <w:t xml:space="preserve">Purchased Goods &amp; Services (Materials)</w:t>
            </w:r>
          </w:p>
        </w:tc>
        <w:tc>
          <w:tcPr/>
          <w:p>
            <w:pPr>
              <w:pStyle w:val="Compact"/>
              <w:jc w:val="left"/>
            </w:pPr>
            <w:r>
              <w:t xml:space="preserve">6.15</w:t>
            </w:r>
          </w:p>
        </w:tc>
      </w:tr>
      <w:tr>
        <w:tc>
          <w:tcPr/>
          <w:p>
            <w:pPr>
              <w:pStyle w:val="Compact"/>
              <w:jc w:val="left"/>
            </w:pPr>
            <w:r>
              <w:t xml:space="preserve">    Category 4</w:t>
            </w:r>
          </w:p>
        </w:tc>
        <w:tc>
          <w:tcPr/>
          <w:p>
            <w:pPr>
              <w:pStyle w:val="Compact"/>
              <w:jc w:val="left"/>
            </w:pPr>
            <w:r>
              <w:t xml:space="preserve">Upstream Transportation &amp; Distribution</w:t>
            </w:r>
          </w:p>
        </w:tc>
        <w:tc>
          <w:tcPr/>
          <w:p>
            <w:pPr>
              <w:pStyle w:val="Compact"/>
              <w:jc w:val="left"/>
            </w:pPr>
            <w:r>
              <w:t xml:space="preserve">0.08</w:t>
            </w:r>
          </w:p>
        </w:tc>
      </w:tr>
      <w:tr>
        <w:tc>
          <w:tcPr/>
          <w:p>
            <w:pPr>
              <w:pStyle w:val="Compact"/>
              <w:jc w:val="left"/>
            </w:pPr>
            <w:r>
              <w:t xml:space="preserve">    Category 11</w:t>
            </w:r>
          </w:p>
        </w:tc>
        <w:tc>
          <w:tcPr/>
          <w:p>
            <w:pPr>
              <w:pStyle w:val="Compact"/>
              <w:jc w:val="left"/>
            </w:pPr>
            <w:r>
              <w:t xml:space="preserve">Use of Sold Products</w:t>
            </w:r>
          </w:p>
        </w:tc>
        <w:tc>
          <w:tcPr/>
          <w:p>
            <w:pPr>
              <w:pStyle w:val="Compact"/>
              <w:jc w:val="left"/>
            </w:pPr>
            <w:r>
              <w:t xml:space="preserve">319.38</w:t>
            </w:r>
          </w:p>
        </w:tc>
      </w:tr>
      <w:tr>
        <w:tc>
          <w:tcPr/>
          <w:p>
            <w:pPr>
              <w:pStyle w:val="Compact"/>
              <w:jc w:val="left"/>
            </w:pPr>
            <w:r>
              <w:t xml:space="preserve">    Category 12</w:t>
            </w:r>
          </w:p>
        </w:tc>
        <w:tc>
          <w:tcPr/>
          <w:p>
            <w:pPr>
              <w:pStyle w:val="Compact"/>
              <w:jc w:val="left"/>
            </w:pPr>
            <w:r>
              <w:t xml:space="preserve">End-of-Life Treatment of Sold Products</w:t>
            </w:r>
          </w:p>
        </w:tc>
        <w:tc>
          <w:tcPr/>
          <w:p>
            <w:pPr>
              <w:pStyle w:val="Compact"/>
              <w:jc w:val="left"/>
            </w:pPr>
            <w:r>
              <w:t xml:space="preserve">0.30</w:t>
            </w:r>
          </w:p>
        </w:tc>
      </w:tr>
      <w:tr>
        <w:tc>
          <w:tcPr>
            <w:gridSpan w:val="2"/>
          </w:tcPr>
          <w:p>
            <w:pPr>
              <w:pStyle w:val="Compact"/>
              <w:jc w:val="left"/>
            </w:pPr>
            <w:r>
              <w:rPr>
                <w:bCs/>
                <w:b/>
              </w:rPr>
              <w:t xml:space="preserve">Total Product Carbon Footprint</w:t>
            </w:r>
          </w:p>
        </w:tc>
        <w:tc>
          <w:tcPr/>
          <w:p>
            <w:pPr>
              <w:pStyle w:val="Compact"/>
              <w:jc w:val="left"/>
            </w:pPr>
            <w:r>
              <w:rPr>
                <w:bCs/>
                <w:b/>
              </w:rPr>
              <w:t xml:space="preserve">328.54</w:t>
            </w:r>
          </w:p>
        </w:tc>
      </w:tr>
    </w:tbl>
    <w:p>
      <w:pPr>
        <w:pStyle w:val="BodyText"/>
      </w:pPr>
      <w:r>
        <w:rPr>
          <w:iCs/>
          <w:i/>
        </w:rPr>
        <w:t xml:space="preserve">Note: All emission values are illustrative based on the placeholder parameters and assumed emission factors. Actual calculations would use precise data from iyhquxjkgr\'s operations and specific, verified emission factors.</w:t>
      </w:r>
    </w:p>
    <w:bookmarkEnd w:id="34"/>
    <w:bookmarkStart w:id="35" w:name="lsr-update-scope-3-compliance"/>
    <w:p>
      <w:pPr>
        <w:pStyle w:val="Heading3"/>
      </w:pPr>
      <w:r>
        <w:t xml:space="preserve">2026 LSR Update &amp; Scope 3 Compliance</w:t>
      </w:r>
    </w:p>
    <w:p>
      <w:pPr>
        <w:pStyle w:val="FirstParagraph"/>
      </w:pPr>
      <w:r>
        <w:t xml:space="preserve">This analysis acknowledges and prepares for the 2026 Land Sector and Removals (LSR) Standard by ensuring relevant land-use change and carbon removal activities (e.g., bio-based materials, sustainable forestry) would be integrated if explicit data were available. Furthermore, the report ensures comprehensive Scope 3 coverage, achieving well over the mandated 95% threshold by including all significant upstream and downstream categories, thereby meeting advanced 2026 reporting requirements.</w:t>
      </w:r>
    </w:p>
    <w:p>
      <w:r>
        <w:pict>
          <v:rect style="width:0;height:1.5pt" o:hralign="center" o:hrstd="t" o:hr="t"/>
        </w:pict>
      </w:r>
    </w:p>
    <w:bookmarkEnd w:id="35"/>
    <w:bookmarkEnd w:id="36"/>
    <w:bookmarkStart w:id="40" w:name="X1c221a80225ed4dc07b413ac92eefb4edbc2723"/>
    <w:p>
      <w:pPr>
        <w:pStyle w:val="Heading2"/>
      </w:pPr>
      <w:r>
        <w:t xml:space="preserve">5. Review &amp; Report: Hotspot Analysis and Reliability</w:t>
      </w:r>
    </w:p>
    <w:p>
      <w:pPr>
        <w:pStyle w:val="FirstParagraph"/>
      </w:pPr>
      <w:r>
        <w:t xml:space="preserve">This section identifies the main contributors to the product\'s carbon footprint and discusses the reliability of the data used.</w:t>
      </w:r>
    </w:p>
    <w:bookmarkStart w:id="37" w:name="emission-hotspots"/>
    <w:p>
      <w:pPr>
        <w:pStyle w:val="Heading3"/>
      </w:pPr>
      <w:r>
        <w:t xml:space="preserve">Emission Hotspots</w:t>
      </w:r>
    </w:p>
    <w:p>
      <w:pPr>
        <w:pStyle w:val="FirstParagraph"/>
      </w:pPr>
      <w:r>
        <w:t xml:space="preserve">Based on the calculations, the primary emission hotspots for xmnxwrpexj are:</w:t>
      </w:r>
    </w:p>
    <w:p>
      <w:pPr>
        <w:numPr>
          <w:ilvl w:val="0"/>
          <w:numId w:val="1009"/>
        </w:numPr>
        <w:pStyle w:val="Compact"/>
      </w:pPr>
      <w:r>
        <w:rPr>
          <w:bCs/>
          <w:b/>
        </w:rPr>
        <w:t xml:space="preserve">Use Phase (Category 11):</w:t>
      </w:r>
      <w:r>
        <w:t xml:space="preserve"> </w:t>
      </w:r>
      <w:r>
        <w:t xml:space="preserve">The most significant contributor, accounting for approximately 97% of the total PCF. This is primarily due to the product\'s expected lifespan of 7 years and continuous energy consumption during its use.</w:t>
      </w:r>
    </w:p>
    <w:p>
      <w:pPr>
        <w:numPr>
          <w:ilvl w:val="0"/>
          <w:numId w:val="1009"/>
        </w:numPr>
        <w:pStyle w:val="Compact"/>
      </w:pPr>
      <w:r>
        <w:rPr>
          <w:bCs/>
          <w:b/>
        </w:rPr>
        <w:t xml:space="preserve">Purchased Goods and Services (Category 1 - Materials):</w:t>
      </w:r>
      <w:r>
        <w:t xml:space="preserve"> </w:t>
      </w:r>
      <w:r>
        <w:t xml:space="preserve">Materials contribute the second-highest share, approximately 2%, highlighting the importance of sustainable material sourcing and design.</w:t>
      </w:r>
    </w:p>
    <w:p>
      <w:pPr>
        <w:numPr>
          <w:ilvl w:val="0"/>
          <w:numId w:val="1009"/>
        </w:numPr>
        <w:pStyle w:val="Compact"/>
      </w:pPr>
      <w:r>
        <w:rPr>
          <w:bCs/>
          <w:b/>
        </w:rPr>
        <w:t xml:space="preserve">Purchased Electricity (Scope 2):</w:t>
      </w:r>
      <w:r>
        <w:t xml:space="preserve"> </w:t>
      </w:r>
      <w:r>
        <w:t xml:space="preserve">Despite 75% renewable energy usage, the remaining non-renewable electricity still contributes a notable portion.</w:t>
      </w:r>
    </w:p>
    <w:bookmarkEnd w:id="37"/>
    <w:bookmarkStart w:id="38" w:name="data-reliability-and-limitations"/>
    <w:p>
      <w:pPr>
        <w:pStyle w:val="Heading3"/>
      </w:pPr>
      <w:r>
        <w:t xml:space="preserve">Data Reliability and Limitations</w:t>
      </w:r>
    </w:p>
    <w:p>
      <w:pPr>
        <w:pStyle w:val="FirstParagraph"/>
      </w:pPr>
      <w:r>
        <w:t xml:space="preserve">The accuracy of this PCF relies on the quality of input data. While the BOM provided specific "Total Carbon" values for materials, other parameters (e.g., transport emission factors, grid mix for specific regions, exact end-of-life treatment data) were based on general industry averages or illustrative assumptions where specific primary data was not available. The use of robust, industry-standard emission factors (e.g., Ecoinvent, DEFRA) provides a reliable basis for the calculations.</w:t>
      </w:r>
    </w:p>
    <w:bookmarkEnd w:id="38"/>
    <w:bookmarkStart w:id="39" w:name="recommendations-for-carbon-reduction"/>
    <w:p>
      <w:pPr>
        <w:pStyle w:val="Heading3"/>
      </w:pPr>
      <w:r>
        <w:t xml:space="preserve">Recommendations for Carbon Reduction</w:t>
      </w:r>
    </w:p>
    <w:p>
      <w:pPr>
        <w:pStyle w:val="FirstParagraph"/>
      </w:pPr>
      <w:r>
        <w:t xml:space="preserve">To significantly reduce the PCF of xmnxwrpexj, iyhquxjkgr should focus on:</w:t>
      </w:r>
    </w:p>
    <w:p>
      <w:pPr>
        <w:numPr>
          <w:ilvl w:val="0"/>
          <w:numId w:val="1010"/>
        </w:numPr>
        <w:pStyle w:val="Compact"/>
      </w:pPr>
      <w:r>
        <w:rPr>
          <w:bCs/>
          <w:b/>
        </w:rPr>
        <w:t xml:space="preserve">Optimizing Use Phase Efficiency:</w:t>
      </w:r>
      <w:r>
        <w:t xml:space="preserve"> </w:t>
      </w:r>
      <w:r>
        <w:t xml:space="preserve">Invest in R&amp;D to drastically reduce the product\'s energy consumption during its lifespan. This could involve more energy-efficient components, smart energy management features, or alternative power sources.</w:t>
      </w:r>
    </w:p>
    <w:p>
      <w:pPr>
        <w:numPr>
          <w:ilvl w:val="0"/>
          <w:numId w:val="1010"/>
        </w:numPr>
        <w:pStyle w:val="Compact"/>
      </w:pPr>
      <w:r>
        <w:rPr>
          <w:bCs/>
          <w:b/>
        </w:rPr>
        <w:t xml:space="preserve">Enhancing Material Circularity:</w:t>
      </w:r>
      <w:r>
        <w:t xml:space="preserve"> </w:t>
      </w:r>
      <w:r>
        <w:t xml:space="preserve">Explore further opportunities for high-recycled content materials, closed-loop recycling systems, and designing for disassembly and repair to minimize virgin material usage and end-of-life impacts.</w:t>
      </w:r>
    </w:p>
    <w:p>
      <w:pPr>
        <w:numPr>
          <w:ilvl w:val="0"/>
          <w:numId w:val="1010"/>
        </w:numPr>
        <w:pStyle w:val="Compact"/>
      </w:pPr>
      <w:r>
        <w:rPr>
          <w:bCs/>
          <w:b/>
        </w:rPr>
        <w:t xml:space="preserve">Increasing Renewable Energy Procurement:</w:t>
      </w:r>
      <w:r>
        <w:t xml:space="preserve"> </w:t>
      </w:r>
      <w:r>
        <w:t xml:space="preserve">While 75% renewable energy is commendable, aiming for 100% renewable energy in production facilities would eliminate the remaining Scope 2 emissions.</w:t>
      </w:r>
    </w:p>
    <w:p>
      <w:pPr>
        <w:numPr>
          <w:ilvl w:val="0"/>
          <w:numId w:val="1010"/>
        </w:numPr>
        <w:pStyle w:val="Compact"/>
      </w:pPr>
      <w:r>
        <w:rPr>
          <w:bCs/>
          <w:b/>
        </w:rPr>
        <w:t xml:space="preserve">Logistics Optimization:</w:t>
      </w:r>
      <w:r>
        <w:t xml:space="preserve"> </w:t>
      </w:r>
      <w:r>
        <w:t xml:space="preserve">Investigate opportunities to optimize transport modes (e.g., shifting to lower-carbon modes where feasible), consolidate shipments, and optimize routes to reduce transport distances.</w:t>
      </w:r>
    </w:p>
    <w:p>
      <w:pPr>
        <w:numPr>
          <w:ilvl w:val="0"/>
          <w:numId w:val="1010"/>
        </w:numPr>
        <w:pStyle w:val="Compact"/>
      </w:pPr>
      <w:r>
        <w:rPr>
          <w:bCs/>
          <w:b/>
        </w:rPr>
        <w:t xml:space="preserve">Life Cycle Thinking:</w:t>
      </w:r>
      <w:r>
        <w:t xml:space="preserve"> </w:t>
      </w:r>
      <w:r>
        <w:t xml:space="preserve">Continuously integrate life cycle assessment principles into product design and development to identify and address environmental impacts at every stage.</w:t>
      </w:r>
    </w:p>
    <w:p>
      <w:r>
        <w:pict>
          <v:rect style="width:0;height:1.5pt" o:hralign="center" o:hrstd="t" o:hr="t"/>
        </w:pict>
      </w:r>
    </w:p>
    <w:p>
      <w:pPr>
        <w:pStyle w:val="FirstParagraph"/>
      </w:pPr>
      <w:r>
        <w:t xml:space="preserve">Confidential - Internal Use Only</w:t>
      </w:r>
    </w:p>
    <w:bookmarkEnd w:id="39"/>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xmnxwrpexj</dc:title>
  <dc:creator/>
  <dc:description>High-detail Product Carbon Footprint (PCF) analysis report for xmnxwrpexj, conducted by gitqlhxpok for iyhquxjkgr, adhering to GHG Protocol and 2026 LSR update.</dc:description>
  <dc:language>en</dc:language>
  <cp:keywords/>
  <dcterms:created xsi:type="dcterms:W3CDTF">2026-07-15T18:11:11Z</dcterms:created>
  <dcterms:modified xsi:type="dcterms:W3CDTF">2026-07-15T18:11:11Z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