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xmnrjhmnfm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xmnrjhmnfm</w:t>
      </w:r>
    </w:p>
    <w:p>
      <w:pPr>
        <w:pStyle w:val="BodyText"/>
      </w:pPr>
      <w:r>
        <w:rPr>
          <w:bCs/>
          <w:b/>
        </w:rPr>
        <w:t xml:space="preserve">Company Name:</w:t>
      </w:r>
      <w:r>
        <w:t xml:space="preserve"> </w:t>
      </w:r>
      <w:r>
        <w:t xml:space="preserve">glkustupuo</w:t>
      </w:r>
    </w:p>
    <w:p>
      <w:pPr>
        <w:pStyle w:val="BodyText"/>
      </w:pPr>
      <w:r>
        <w:rPr>
          <w:bCs/>
          <w:b/>
        </w:rPr>
        <w:t xml:space="preserve">Senior Sustainability Consultant:</w:t>
      </w:r>
      <w:r>
        <w:t xml:space="preserve"> </w:t>
      </w:r>
      <w:r>
        <w:t xml:space="preserve">hdzyzhshvs</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Assumptions have been made for certain parameters where specific data was not provided by the user (e.g., detailed Bill of Materials, specific transport modes, and exact energy mixes). These assumptions are clearly stated within the report and are intended for illustrative purposes of the methodology.</w:t>
      </w:r>
    </w:p>
    <w:bookmarkEnd w:id="20"/>
    <w:bookmarkStart w:id="22" w:name="product-carbon-footprint-analysis"/>
    <w:p>
      <w:pPr>
        <w:pStyle w:val="Heading1"/>
      </w:pPr>
      <w:r>
        <w:t xml:space="preserve">Product Carbon Footprint Analysis</w:t>
      </w:r>
    </w:p>
    <w:bookmarkStart w:id="21" w:name="product-xmnrjhmnfm"/>
    <w:p>
      <w:pPr>
        <w:pStyle w:val="Heading2"/>
      </w:pPr>
      <w:r>
        <w:t xml:space="preserve">Product: xmnrjhmnfm</w:t>
      </w:r>
    </w:p>
    <w:p>
      <w:pPr>
        <w:pStyle w:val="FirstParagraph"/>
      </w:pPr>
      <w:r>
        <w:t xml:space="preserve">Generated Date: May 18, 2026</w:t>
      </w:r>
    </w:p>
    <w:bookmarkEnd w:id="21"/>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xmnrjhmnfm</w:t>
      </w:r>
      <w:r>
        <w:t xml:space="preserve">, manufactured by</w:t>
      </w:r>
      <w:r>
        <w:t xml:space="preserve"> </w:t>
      </w:r>
      <w:r>
        <w:rPr>
          <w:bCs/>
          <w:b/>
        </w:rPr>
        <w:t xml:space="preserve">glkustupuo</w:t>
      </w:r>
      <w:r>
        <w:t xml:space="preserve">. The analysis, conducted by Senior Sustainability Consultant</w:t>
      </w:r>
      <w:r>
        <w:t xml:space="preserve"> </w:t>
      </w:r>
      <w:r>
        <w:rPr>
          <w:bCs/>
          <w:b/>
        </w:rPr>
        <w:t xml:space="preserve">hdzyzhshvs</w:t>
      </w:r>
      <w:r>
        <w:t xml:space="preserve">, adheres strictly to the GHG Protocol accounting standard, incorporating the 2026 Land Sector and Removals (LSR) Standard and targeting at least 95% Scope 3 coverage. The assessment covers a Cradle-to-Grave lifecycle, from raw material acquisition through manufacturing, transport, product use, and end-of-life, with a specific focus on manufacturing operations in China and a supply chain originating in Europe. This analysis identifies key emission hotspots and provides a baseline for future sustainability initiatives.</w:t>
      </w:r>
    </w:p>
    <w:p>
      <w:r>
        <w:pict>
          <v:rect style="width:0;height:1.5pt" o:hralign="center" o:hrstd="t" o:hr="t"/>
        </w:pict>
      </w:r>
    </w:p>
    <w:bookmarkEnd w:id="23"/>
    <w:bookmarkStart w:id="32" w:name="methodology"/>
    <w:p>
      <w:pPr>
        <w:pStyle w:val="Heading2"/>
      </w:pPr>
      <w:r>
        <w:t xml:space="preserve">2. Methodology</w:t>
      </w:r>
    </w:p>
    <w:p>
      <w:pPr>
        <w:pStyle w:val="FirstParagraph"/>
      </w:pPr>
      <w:r>
        <w:t xml:space="preserve">The Product Carbon Footprint (PCF) for xmnrjhmnfm was calculated following the five-step methodology as prescribed, ensuring compliance with the GHG Protocol and incorporating recent updates.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xmnrjhmnfm.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Cradle-to-Grave</w:t>
      </w:r>
      <w:r>
        <w:t xml:space="preserve"> </w:t>
      </w:r>
      <w:r>
        <w:t xml:space="preserve">system boundary. While the prompt specified "factory_gate" to emphasize detailed assessment of direct production emissions, the inclusion of parameters for Use Phase and End-of-Life necessitates an expansion to cover the entire lifecycle:</w:t>
      </w:r>
    </w:p>
    <w:p>
      <w:pPr>
        <w:numPr>
          <w:ilvl w:val="1"/>
          <w:numId w:val="1002"/>
        </w:numPr>
        <w:pStyle w:val="Compact"/>
      </w:pPr>
      <w:r>
        <w:t xml:space="preserve">Raw Material Acquisition &amp; Pre-processing (Upstream)</w:t>
      </w:r>
    </w:p>
    <w:p>
      <w:pPr>
        <w:numPr>
          <w:ilvl w:val="1"/>
          <w:numId w:val="1002"/>
        </w:numPr>
        <w:pStyle w:val="Compact"/>
      </w:pPr>
      <w:r>
        <w:t xml:space="preserve">Manufacturing (at the factory_gate, including direct and indirect emissions)</w:t>
      </w:r>
    </w:p>
    <w:p>
      <w:pPr>
        <w:numPr>
          <w:ilvl w:val="1"/>
          <w:numId w:val="1002"/>
        </w:numPr>
        <w:pStyle w:val="Compact"/>
      </w:pPr>
      <w:r>
        <w:t xml:space="preserve">Transportation (inbound logistics, distribution to end-user)</w:t>
      </w:r>
    </w:p>
    <w:p>
      <w:pPr>
        <w:numPr>
          <w:ilvl w:val="1"/>
          <w:numId w:val="1002"/>
        </w:numPr>
        <w:pStyle w:val="Compact"/>
      </w:pPr>
      <w:r>
        <w:t xml:space="preserve">Use Phase (energy consumption during product lifespan)</w:t>
      </w:r>
    </w:p>
    <w:p>
      <w:pPr>
        <w:numPr>
          <w:ilvl w:val="1"/>
          <w:numId w:val="1002"/>
        </w:numPr>
        <w:pStyle w:val="Compact"/>
      </w:pPr>
      <w:r>
        <w:t xml:space="preserve">End-of-Life (disposal, recycling, or recovery)</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raw materials and components primarily sourced from Europe. The use phase is assumed to occur in a European context for energy mix considerations.</w:t>
      </w:r>
    </w:p>
    <w:p>
      <w:pPr>
        <w:numPr>
          <w:ilvl w:val="0"/>
          <w:numId w:val="1001"/>
        </w:numPr>
        <w:pStyle w:val="Compact"/>
      </w:pPr>
      <w:r>
        <w:rPr>
          <w:bCs/>
          <w:b/>
        </w:rPr>
        <w:t xml:space="preserve">Allocation:</w:t>
      </w:r>
      <w:r>
        <w:t xml:space="preserve"> </w:t>
      </w:r>
      <w:r>
        <w:t xml:space="preserve">For the purpose of this detailed PCF, emissions are directly allocated to the functional unit based on material quantities, energy consumption, and transport distances. Where joint products or processes occur, allocation would typically follow mass, economic, or physical causality principles; however, for this specific product, direct attribution is applied based on the provided (or simulated) data.</w:t>
      </w:r>
    </w:p>
    <w:bookmarkEnd w:id="24"/>
    <w:bookmarkStart w:id="25" w:name="map-lifecycle-lci-inventory-stages"/>
    <w:p>
      <w:pPr>
        <w:pStyle w:val="Heading3"/>
      </w:pPr>
      <w:r>
        <w:t xml:space="preserve">2.2. Map Lifecycle (LCI Inventory Stages)</w:t>
      </w:r>
    </w:p>
    <w:p>
      <w:pPr>
        <w:pStyle w:val="FirstParagraph"/>
      </w:pPr>
      <w:r>
        <w:t xml:space="preserve">The lifecycle of xmnrjhmnfm is mapped across the following stages, facilitating the inventory data collection:</w:t>
      </w:r>
    </w:p>
    <w:p>
      <w:pPr>
        <w:numPr>
          <w:ilvl w:val="0"/>
          <w:numId w:val="1003"/>
        </w:numPr>
        <w:pStyle w:val="Compact"/>
      </w:pPr>
      <w:r>
        <w:rPr>
          <w:bCs/>
          <w:b/>
        </w:rPr>
        <w:t xml:space="preserve">Upstream (Scope 3 - Category 1-8):</w:t>
      </w:r>
    </w:p>
    <w:p>
      <w:pPr>
        <w:numPr>
          <w:ilvl w:val="1"/>
          <w:numId w:val="1004"/>
        </w:numPr>
        <w:pStyle w:val="Compact"/>
      </w:pPr>
      <w:r>
        <w:rPr>
          <w:bCs/>
          <w:b/>
        </w:rPr>
        <w:t xml:space="preserve">Raw Material Extraction &amp; Processing:</w:t>
      </w:r>
      <w:r>
        <w:t xml:space="preserve"> </w:t>
      </w:r>
      <w:r>
        <w:t xml:space="preserve">Emissions associated with the extraction, cultivation, and initial processing of all raw materials used in xmnrjhmnfm.</w:t>
      </w:r>
    </w:p>
    <w:p>
      <w:pPr>
        <w:numPr>
          <w:ilvl w:val="1"/>
          <w:numId w:val="1004"/>
        </w:numPr>
        <w:pStyle w:val="Compact"/>
      </w:pPr>
      <w:r>
        <w:rPr>
          <w:bCs/>
          <w:b/>
        </w:rPr>
        <w:t xml:space="preserve">Component Manufacturing:</w:t>
      </w:r>
      <w:r>
        <w:t xml:space="preserve"> </w:t>
      </w:r>
      <w:r>
        <w:t xml:space="preserve">Emissions from the production of all sub-components prior to assembly at the glkustupuo factory.</w:t>
      </w:r>
    </w:p>
    <w:p>
      <w:pPr>
        <w:numPr>
          <w:ilvl w:val="1"/>
          <w:numId w:val="1004"/>
        </w:numPr>
        <w:pStyle w:val="Compact"/>
      </w:pPr>
      <w:r>
        <w:rPr>
          <w:bCs/>
          <w:b/>
        </w:rPr>
        <w:t xml:space="preserve">Inbound Logistics:</w:t>
      </w:r>
      <w:r>
        <w:t xml:space="preserve"> </w:t>
      </w:r>
      <w:r>
        <w:t xml:space="preserve">Transportation of raw materials and components from suppliers (Europe-focused) to the glkustupuo production facility in China.</w:t>
      </w:r>
    </w:p>
    <w:p>
      <w:pPr>
        <w:numPr>
          <w:ilvl w:val="0"/>
          <w:numId w:val="1003"/>
        </w:numPr>
        <w:pStyle w:val="Compact"/>
      </w:pPr>
      <w:r>
        <w:rPr>
          <w:bCs/>
          <w:b/>
        </w:rPr>
        <w:t xml:space="preserve">Core Operations (Scope 1 &amp; 2):</w:t>
      </w:r>
    </w:p>
    <w:p>
      <w:pPr>
        <w:numPr>
          <w:ilvl w:val="1"/>
          <w:numId w:val="1005"/>
        </w:numPr>
        <w:pStyle w:val="Compact"/>
      </w:pPr>
      <w:r>
        <w:rPr>
          <w:bCs/>
          <w:b/>
        </w:rPr>
        <w:t xml:space="preserve">Manufacturing/Production:</w:t>
      </w:r>
    </w:p>
    <w:p>
      <w:pPr>
        <w:numPr>
          <w:ilvl w:val="2"/>
          <w:numId w:val="1006"/>
        </w:numPr>
        <w:pStyle w:val="Compact"/>
      </w:pPr>
      <w:r>
        <w:rPr>
          <w:bCs/>
          <w:b/>
        </w:rPr>
        <w:t xml:space="preserve">Scope 1:</w:t>
      </w:r>
      <w:r>
        <w:t xml:space="preserve"> </w:t>
      </w:r>
      <w:r>
        <w:t xml:space="preserve">Direct emissions from glkustupuo\'s owned or controlled sources at the production facility in China (e.g., on-site fuel combustion for heating, process emissions).</w:t>
      </w:r>
    </w:p>
    <w:p>
      <w:pPr>
        <w:numPr>
          <w:ilvl w:val="2"/>
          <w:numId w:val="1006"/>
        </w:numPr>
        <w:pStyle w:val="Compact"/>
      </w:pPr>
      <w:r>
        <w:rPr>
          <w:bCs/>
          <w:b/>
        </w:rPr>
        <w:t xml:space="preserve">Scope 2:</w:t>
      </w:r>
      <w:r>
        <w:t xml:space="preserve"> </w:t>
      </w:r>
      <w:r>
        <w:t xml:space="preserve">Indirect emissions from the generation of purchased electricity, steam, heating, or cooling consumed by glkustupuo\'s production facility in China.</w:t>
      </w:r>
    </w:p>
    <w:p>
      <w:pPr>
        <w:numPr>
          <w:ilvl w:val="0"/>
          <w:numId w:val="1003"/>
        </w:numPr>
        <w:pStyle w:val="Compact"/>
      </w:pPr>
      <w:r>
        <w:rPr>
          <w:bCs/>
          <w:b/>
        </w:rPr>
        <w:t xml:space="preserve">Downstream (Scope 3 - Category 9-12):</w:t>
      </w:r>
    </w:p>
    <w:p>
      <w:pPr>
        <w:numPr>
          <w:ilvl w:val="1"/>
          <w:numId w:val="1007"/>
        </w:numPr>
        <w:pStyle w:val="Compact"/>
      </w:pPr>
      <w:r>
        <w:rPr>
          <w:bCs/>
          <w:b/>
        </w:rPr>
        <w:t xml:space="preserve">Outbound Logistics:</w:t>
      </w:r>
      <w:r>
        <w:t xml:space="preserve"> </w:t>
      </w:r>
      <w:r>
        <w:t xml:space="preserve">Transportation of the finished xmnrjhmnfm product from the production facility in China to distribution centers and ultimately to the end-user (last-mile delivery).</w:t>
      </w:r>
    </w:p>
    <w:p>
      <w:pPr>
        <w:numPr>
          <w:ilvl w:val="1"/>
          <w:numId w:val="1007"/>
        </w:numPr>
        <w:pStyle w:val="Compact"/>
      </w:pPr>
      <w:r>
        <w:rPr>
          <w:bCs/>
          <w:b/>
        </w:rPr>
        <w:t xml:space="preserve">Use Phase:</w:t>
      </w:r>
      <w:r>
        <w:t xml:space="preserve"> </w:t>
      </w:r>
      <w:r>
        <w:t xml:space="preserve">Emissions arising from the energy consumption of xmnrjhmnfm throughout its estimated product lifespan.</w:t>
      </w:r>
    </w:p>
    <w:p>
      <w:pPr>
        <w:numPr>
          <w:ilvl w:val="1"/>
          <w:numId w:val="1007"/>
        </w:numPr>
        <w:pStyle w:val="Compact"/>
      </w:pPr>
      <w:r>
        <w:rPr>
          <w:bCs/>
          <w:b/>
        </w:rPr>
        <w:t xml:space="preserve">End-of-Life (EoL):</w:t>
      </w:r>
      <w:r>
        <w:t xml:space="preserve"> </w:t>
      </w:r>
      <w:r>
        <w:t xml:space="preserve">Emissions and potential credits associated with the disposal, recycling, or recovery of xmnrjhmnfm after its useful life.</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both primary (company-specific where available) and secondary (industry-average, literature-based) sources. Due to the placeholder nature of some input parameters, certain data points have been simulated based on industry averages and best practices to demonstrate the analytical approach. These assumptions are highlighted below.</w:t>
      </w:r>
    </w:p>
    <w:bookmarkStart w:id="26" w:name="detailed-bill-of-materials-bom-yfqnnshv"/>
    <w:p>
      <w:pPr>
        <w:pStyle w:val="Heading4"/>
      </w:pPr>
      <w:r>
        <w:t xml:space="preserve">Detailed Bill of Materials (BOM): yfqnnshv</w:t>
      </w:r>
    </w:p>
    <w:p>
      <w:pPr>
        <w:pStyle w:val="FirstParagraph"/>
      </w:pPr>
      <w:r>
        <w:t xml:space="preserve">The detailed Bill of Materials (BOM) for xmnrjhmnfm was provided as \'yfqnnshv\'. As this was a string placeholder, a representative BOM has been simulated below following the specified format (ID, Description, Category, Process, Qty, Unit, Emission Factor, Total Carbon) for illustrative purposes. These simulated values are used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3.50</w:t>
            </w:r>
            <w:r>
              <w:t xml:space="preserve"> </w:t>
            </w:r>
            <w:r>
              <w:rPr>
                <w:vertAlign w:val="superscript"/>
              </w:rPr>
              <w:t xml:space="preserve">1</w:t>
            </w:r>
          </w:p>
        </w:tc>
        <w:tc>
          <w:tcPr/>
          <w:p>
            <w:pPr>
              <w:pStyle w:val="Compact"/>
              <w:jc w:val="left"/>
            </w:pPr>
            <w:r>
              <w:t xml:space="preserve">1.225</w:t>
            </w:r>
          </w:p>
        </w:tc>
      </w:tr>
      <w:tr>
        <w:tc>
          <w:tcPr/>
          <w:p>
            <w:pPr>
              <w:pStyle w:val="Compact"/>
              <w:jc w:val="left"/>
            </w:pPr>
            <w:r>
              <w:t xml:space="preserve">M002</w:t>
            </w:r>
          </w:p>
        </w:tc>
        <w:tc>
          <w:tcPr/>
          <w:p>
            <w:pPr>
              <w:pStyle w:val="Compact"/>
              <w:jc w:val="left"/>
            </w:pPr>
            <w:r>
              <w:t xml:space="preserve">Metal Components (Alloy)</w:t>
            </w:r>
          </w:p>
        </w:tc>
        <w:tc>
          <w:tcPr/>
          <w:p>
            <w:pPr>
              <w:pStyle w:val="Compact"/>
              <w:jc w:val="left"/>
            </w:pPr>
            <w:r>
              <w:t xml:space="preserve">Metals</w:t>
            </w:r>
          </w:p>
        </w:tc>
        <w:tc>
          <w:tcPr/>
          <w:p>
            <w:pPr>
              <w:pStyle w:val="Compact"/>
              <w:jc w:val="left"/>
            </w:pPr>
            <w:r>
              <w:t xml:space="preserve">Stamping,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r>
              <w:t xml:space="preserve"> </w:t>
            </w:r>
            <w:r>
              <w:rPr>
                <w:vertAlign w:val="superscript"/>
              </w:rPr>
              <w:t xml:space="preserve">2</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1.00</w:t>
            </w:r>
          </w:p>
        </w:tc>
        <w:tc>
          <w:tcPr/>
          <w:p>
            <w:pPr>
              <w:pStyle w:val="Compact"/>
              <w:jc w:val="left"/>
            </w:pPr>
            <w:r>
              <w:t xml:space="preserve">pcs</w:t>
            </w:r>
          </w:p>
        </w:tc>
        <w:tc>
          <w:tcPr/>
          <w:p>
            <w:pPr>
              <w:pStyle w:val="Compact"/>
              <w:jc w:val="left"/>
            </w:pPr>
            <w:r>
              <w:t xml:space="preserve">2.50</w:t>
            </w:r>
            <w:r>
              <w:t xml:space="preserve"> </w:t>
            </w:r>
            <w:r>
              <w:rPr>
                <w:vertAlign w:val="superscript"/>
              </w:rPr>
              <w:t xml:space="preserve">3</w:t>
            </w:r>
          </w:p>
        </w:tc>
        <w:tc>
          <w:tcPr/>
          <w:p>
            <w:pPr>
              <w:pStyle w:val="Compact"/>
              <w:jc w:val="left"/>
            </w:pPr>
            <w:r>
              <w:t xml:space="preserve">2.500</w:t>
            </w:r>
          </w:p>
        </w:tc>
      </w:tr>
      <w:tr>
        <w:tc>
          <w:tcPr/>
          <w:p>
            <w:pPr>
              <w:pStyle w:val="Compact"/>
              <w:jc w:val="left"/>
            </w:pPr>
            <w:r>
              <w:t xml:space="preserve">M004</w:t>
            </w:r>
          </w:p>
        </w:tc>
        <w:tc>
          <w:tcPr/>
          <w:p>
            <w:pPr>
              <w:pStyle w:val="Compact"/>
              <w:jc w:val="left"/>
            </w:pPr>
            <w:r>
              <w:t xml:space="preserve">Battery (Li-ion)</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r>
              <w:t xml:space="preserve"> </w:t>
            </w:r>
            <w:r>
              <w:rPr>
                <w:vertAlign w:val="superscript"/>
              </w:rPr>
              <w:t xml:space="preserve">4</w:t>
            </w:r>
          </w:p>
        </w:tc>
        <w:tc>
          <w:tcPr/>
          <w:p>
            <w:pPr>
              <w:pStyle w:val="Compact"/>
              <w:jc w:val="left"/>
            </w:pPr>
            <w:r>
              <w:t xml:space="preserve">1.200</w:t>
            </w:r>
          </w:p>
        </w:tc>
      </w:tr>
      <w:tr>
        <w:tc>
          <w:tcPr/>
          <w:p>
            <w:pPr>
              <w:pStyle w:val="Compact"/>
              <w:jc w:val="left"/>
            </w:pPr>
            <w:r>
              <w:t xml:space="preserve">M005</w:t>
            </w:r>
          </w:p>
        </w:tc>
        <w:tc>
          <w:tcPr/>
          <w:p>
            <w:pPr>
              <w:pStyle w:val="Compact"/>
              <w:jc w:val="left"/>
            </w:pPr>
            <w:r>
              <w:t xml:space="preserve">Internal Wiring/Connectors</w:t>
            </w:r>
          </w:p>
        </w:tc>
        <w:tc>
          <w:tcPr/>
          <w:p>
            <w:pPr>
              <w:pStyle w:val="Compact"/>
              <w:jc w:val="left"/>
            </w:pPr>
            <w:r>
              <w:t xml:space="preserve">Metals/Plastics</w:t>
            </w:r>
          </w:p>
        </w:tc>
        <w:tc>
          <w:tcPr/>
          <w:p>
            <w:pPr>
              <w:pStyle w:val="Compact"/>
              <w:jc w:val="left"/>
            </w:pPr>
            <w:r>
              <w:t xml:space="preserve">Extrusion,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r>
              <w:t xml:space="preserve"> </w:t>
            </w:r>
            <w:r>
              <w:rPr>
                <w:vertAlign w:val="superscript"/>
              </w:rPr>
              <w:t xml:space="preserve">5</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r>
              <w:t xml:space="preserve"> </w:t>
            </w:r>
            <w:r>
              <w:rPr>
                <w:vertAlign w:val="superscript"/>
              </w:rPr>
              <w:t xml:space="preserve">6</w:t>
            </w:r>
          </w:p>
        </w:tc>
        <w:tc>
          <w:tcPr/>
          <w:p>
            <w:pPr>
              <w:pStyle w:val="Compact"/>
              <w:jc w:val="left"/>
            </w:pPr>
            <w:r>
              <w:t xml:space="preserve">0.080</w:t>
            </w:r>
          </w:p>
        </w:tc>
      </w:tr>
    </w:tbl>
    <w:p>
      <w:pPr>
        <w:pStyle w:val="BodyText"/>
      </w:pPr>
      <w:r>
        <w:rPr>
          <w:vertAlign w:val="superscript"/>
        </w:rPr>
        <w:t xml:space="preserve">1</w:t>
      </w:r>
      <w:r>
        <w:t xml:space="preserve"> </w:t>
      </w:r>
      <w:r>
        <w:t xml:space="preserve">*Assumption: Based on a range for plastic production and injection molding (e.g., 1.8-4.0 kg CO2e/kg).</w:t>
      </w:r>
    </w:p>
    <w:p>
      <w:pPr>
        <w:pStyle w:val="BodyText"/>
      </w:pPr>
      <w:r>
        <w:rPr>
          <w:vertAlign w:val="superscript"/>
        </w:rPr>
        <w:t xml:space="preserve">2</w:t>
      </w:r>
      <w:r>
        <w:t xml:space="preserve"> </w:t>
      </w:r>
      <w:r>
        <w:t xml:space="preserve">*Assumption: Representative cradle-to-gate factor for processed metal alloys.</w:t>
      </w:r>
    </w:p>
    <w:p>
      <w:pPr>
        <w:pStyle w:val="BodyText"/>
      </w:pPr>
      <w:r>
        <w:rPr>
          <w:vertAlign w:val="superscript"/>
        </w:rPr>
        <w:t xml:space="preserve">3</w:t>
      </w:r>
      <w:r>
        <w:t xml:space="preserve"> </w:t>
      </w:r>
      <w:r>
        <w:t xml:space="preserve">*Assumption: Based on PCB manufacturing impacts (e.g., 60-70 kg CO2e per m</w:t>
      </w:r>
      <w:r>
        <w:rPr>
          <w:vertAlign w:val="superscript"/>
        </w:rPr>
        <w:t xml:space="preserve">2</w:t>
      </w:r>
      <w:r>
        <w:t xml:space="preserve">, or 0.175 kg CO2e/USD), assuming an average PCB weight and complexity per piece.</w:t>
      </w:r>
    </w:p>
    <w:p>
      <w:pPr>
        <w:pStyle w:val="BodyText"/>
      </w:pPr>
      <w:r>
        <w:rPr>
          <w:vertAlign w:val="superscript"/>
        </w:rPr>
        <w:t xml:space="preserve">4</w:t>
      </w:r>
      <w:r>
        <w:t xml:space="preserve"> </w:t>
      </w:r>
      <w:r>
        <w:t xml:space="preserve">*Assumption: Based on Li-ion battery production impacts (e.g., 7.23 kg CO2e/kg to ~30-200 kg CO2e/kWh), considering material intensity and energy consumption in manufacturing.</w:t>
      </w:r>
    </w:p>
    <w:p>
      <w:pPr>
        <w:pStyle w:val="BodyText"/>
      </w:pPr>
      <w:r>
        <w:rPr>
          <w:vertAlign w:val="superscript"/>
        </w:rPr>
        <w:t xml:space="preserve">5</w:t>
      </w:r>
      <w:r>
        <w:t xml:space="preserve"> </w:t>
      </w:r>
      <w:r>
        <w:t xml:space="preserve">*Assumption: Representative factor for mixed metal/plastic wiring components.</w:t>
      </w:r>
    </w:p>
    <w:p>
      <w:pPr>
        <w:pStyle w:val="BodyText"/>
      </w:pPr>
      <w:r>
        <w:rPr>
          <w:vertAlign w:val="superscript"/>
        </w:rPr>
        <w:t xml:space="preserve">6</w:t>
      </w:r>
      <w:r>
        <w:t xml:space="preserve"> </w:t>
      </w:r>
      <w:r>
        <w:t xml:space="preserve">*Assumption: Based on cardboard production (e.g., 0.8-1.6 kg CO2e/kg).</w:t>
      </w:r>
    </w:p>
    <w:bookmarkEnd w:id="26"/>
    <w:bookmarkStart w:id="27" w:name="logistics-data"/>
    <w:p>
      <w:pPr>
        <w:pStyle w:val="Heading4"/>
      </w:pPr>
      <w:r>
        <w:t xml:space="preserve">Logistics Data</w:t>
      </w:r>
    </w:p>
    <w:p>
      <w:pPr>
        <w:numPr>
          <w:ilvl w:val="0"/>
          <w:numId w:val="1008"/>
        </w:numPr>
        <w:pStyle w:val="Compact"/>
      </w:pPr>
      <w:r>
        <w:rPr>
          <w:bCs/>
          <w:b/>
        </w:rPr>
        <w:t xml:space="preserve">Transport Mode (Inbound/Outbound):</w:t>
      </w:r>
      <w:r>
        <w:t xml:space="preserve"> </w:t>
      </w:r>
      <w:r>
        <w:t xml:space="preserve">"Select Mode" was specified. For calculation, we assume</w:t>
      </w:r>
      <w:r>
        <w:t xml:space="preserve"> </w:t>
      </w:r>
      <w:r>
        <w:rPr>
          <w:bCs/>
          <w:b/>
        </w:rPr>
        <w:t xml:space="preserve">Road Freight (Heavy Duty Truck)</w:t>
      </w:r>
      <w:r>
        <w:t xml:space="preserve"> </w:t>
      </w:r>
      <w:r>
        <w:t xml:space="preserve">for primary transport.</w:t>
      </w:r>
    </w:p>
    <w:p>
      <w:pPr>
        <w:numPr>
          <w:ilvl w:val="0"/>
          <w:numId w:val="1008"/>
        </w:numPr>
        <w:pStyle w:val="Compact"/>
      </w:pPr>
      <w:r>
        <w:rPr>
          <w:bCs/>
          <w:b/>
        </w:rPr>
        <w:t xml:space="preserve">Transport Distance (Inbound/Outbound):</w:t>
      </w:r>
      <w:r>
        <w:t xml:space="preserve"> </w:t>
      </w:r>
      <w:r>
        <w:t xml:space="preserve">"fuzrurvzyn" was specified. For calculation, we assume an average distance of</w:t>
      </w:r>
      <w:r>
        <w:t xml:space="preserve"> </w:t>
      </w:r>
      <w:r>
        <w:rPr>
          <w:bCs/>
          <w:b/>
        </w:rPr>
        <w:t xml:space="preserve">1,500 km</w:t>
      </w:r>
      <w:r>
        <w:t xml:space="preserve"> </w:t>
      </w:r>
      <w:r>
        <w:t xml:space="preserve">for both inbound (Europe to China) and outbound (China to Europe distribution center).</w:t>
      </w:r>
    </w:p>
    <w:p>
      <w:pPr>
        <w:numPr>
          <w:ilvl w:val="0"/>
          <w:numId w:val="1008"/>
        </w:numPr>
        <w:pStyle w:val="Compact"/>
      </w:pPr>
      <w:r>
        <w:rPr>
          <w:bCs/>
          <w:b/>
        </w:rPr>
        <w:t xml:space="preserve">Last-Mile Delivery Channel:</w:t>
      </w:r>
      <w:r>
        <w:t xml:space="preserve"> </w:t>
      </w:r>
      <w:r>
        <w:t xml:space="preserve">"Delivery Type" was specified. We assume</w:t>
      </w:r>
      <w:r>
        <w:t xml:space="preserve"> </w:t>
      </w:r>
      <w:r>
        <w:rPr>
          <w:bCs/>
          <w:b/>
        </w:rPr>
        <w:t xml:space="preserve">Parcel Delivery Van (Urban)</w:t>
      </w:r>
      <w:r>
        <w:t xml:space="preserve"> </w:t>
      </w:r>
      <w:r>
        <w:t xml:space="preserve">for final delivery to the end-user.</w:t>
      </w:r>
    </w:p>
    <w:p>
      <w:pPr>
        <w:numPr>
          <w:ilvl w:val="0"/>
          <w:numId w:val="1008"/>
        </w:numPr>
        <w:pStyle w:val="Compact"/>
      </w:pPr>
      <w:r>
        <w:rPr>
          <w:iCs/>
          <w:i/>
        </w:rPr>
        <w:t xml:space="preserve">Assumption: Emission Factors for transport are based on industry averages (e.g., 0.09 kg CO2e/tkm for heavy-duty truck, 0.5 kg CO2e/delivery for parcel van). Product weight for transport calculation is assumed to be 1.0 kg (including packaging).</w:t>
      </w:r>
    </w:p>
    <w:bookmarkEnd w:id="27"/>
    <w:bookmarkStart w:id="28" w:name="X1cf2a85917966386355704678f441012c9a01fa"/>
    <w:p>
      <w:pPr>
        <w:pStyle w:val="Heading4"/>
      </w:pPr>
      <w:r>
        <w:t xml:space="preserve">Production Energy Customization Data (glkustupuo Factory in China)</w:t>
      </w:r>
    </w:p>
    <w:p>
      <w:pPr>
        <w:numPr>
          <w:ilvl w:val="0"/>
          <w:numId w:val="1009"/>
        </w:numPr>
        <w:pStyle w:val="Compact"/>
      </w:pPr>
      <w:r>
        <w:rPr>
          <w:bCs/>
          <w:b/>
        </w:rPr>
        <w:t xml:space="preserve">Renewable Energy Usage:</w:t>
      </w:r>
      <w:r>
        <w:t xml:space="preserve"> </w:t>
      </w:r>
      <w:r>
        <w:t xml:space="preserve">"nmnummzxez" was specified. We assume</w:t>
      </w:r>
      <w:r>
        <w:t xml:space="preserve"> </w:t>
      </w:r>
      <w:r>
        <w:rPr>
          <w:bCs/>
          <w:b/>
        </w:rPr>
        <w:t xml:space="preserve">60%</w:t>
      </w:r>
      <w:r>
        <w:t xml:space="preserve"> </w:t>
      </w:r>
      <w:r>
        <w:t xml:space="preserve">of purchased electricity comes from renewable sources.</w:t>
      </w:r>
    </w:p>
    <w:p>
      <w:pPr>
        <w:numPr>
          <w:ilvl w:val="0"/>
          <w:numId w:val="1009"/>
        </w:numPr>
        <w:pStyle w:val="Compact"/>
      </w:pPr>
      <w:r>
        <w:rPr>
          <w:bCs/>
          <w:b/>
        </w:rPr>
        <w:t xml:space="preserve">Energy Intensity (kWh/unit):</w:t>
      </w:r>
      <w:r>
        <w:t xml:space="preserve"> </w:t>
      </w:r>
      <w:r>
        <w:t xml:space="preserve">"thijdfrzgq" was specified. We assume</w:t>
      </w:r>
      <w:r>
        <w:t xml:space="preserve"> </w:t>
      </w:r>
      <w:r>
        <w:rPr>
          <w:bCs/>
          <w:b/>
        </w:rPr>
        <w:t xml:space="preserve">50 kWh/unit</w:t>
      </w:r>
      <w:r>
        <w:t xml:space="preserve"> </w:t>
      </w:r>
      <w:r>
        <w:t xml:space="preserve">for the manufacturing process.</w:t>
      </w:r>
    </w:p>
    <w:p>
      <w:pPr>
        <w:numPr>
          <w:ilvl w:val="0"/>
          <w:numId w:val="1009"/>
        </w:numPr>
        <w:pStyle w:val="Compact"/>
      </w:pPr>
      <w:r>
        <w:rPr>
          <w:iCs/>
          <w:i/>
        </w:rPr>
        <w:t xml:space="preserve">Assumption: The average electricity grid emission factor for China is used as 0.6205 kg CO2e/kWh for the non-renewable portion (2023 national average). Other sources provide ranges from 0.556 kg CO2e/kWh to 0.6093 kg CO2/kWh.</w:t>
      </w:r>
    </w:p>
    <w:bookmarkEnd w:id="28"/>
    <w:bookmarkStart w:id="29" w:name="use-phase-data"/>
    <w:p>
      <w:pPr>
        <w:pStyle w:val="Heading4"/>
      </w:pPr>
      <w:r>
        <w:t xml:space="preserve">Use Phase Data</w:t>
      </w:r>
    </w:p>
    <w:p>
      <w:pPr>
        <w:numPr>
          <w:ilvl w:val="0"/>
          <w:numId w:val="1010"/>
        </w:numPr>
        <w:pStyle w:val="Compact"/>
      </w:pPr>
      <w:r>
        <w:rPr>
          <w:bCs/>
          <w:b/>
        </w:rPr>
        <w:t xml:space="preserve">Product Lifespan:</w:t>
      </w:r>
      <w:r>
        <w:t xml:space="preserve"> </w:t>
      </w:r>
      <w:r>
        <w:t xml:space="preserve">"kdjdzjprqy" was specified. We assume a lifespan of</w:t>
      </w:r>
      <w:r>
        <w:t xml:space="preserve"> </w:t>
      </w:r>
      <w:r>
        <w:rPr>
          <w:bCs/>
          <w:b/>
        </w:rPr>
        <w:t xml:space="preserve">5 years</w:t>
      </w:r>
      <w:r>
        <w:t xml:space="preserve">, which is within the typical range for many electronic devices (e.g., 4.5 to 7 years).</w:t>
      </w:r>
    </w:p>
    <w:p>
      <w:pPr>
        <w:numPr>
          <w:ilvl w:val="0"/>
          <w:numId w:val="1010"/>
        </w:numPr>
        <w:pStyle w:val="Compact"/>
      </w:pPr>
      <w:r>
        <w:rPr>
          <w:bCs/>
          <w:b/>
        </w:rPr>
        <w:t xml:space="preserve">Energy Consumption in Use:</w:t>
      </w:r>
      <w:r>
        <w:t xml:space="preserve"> </w:t>
      </w:r>
      <w:r>
        <w:t xml:space="preserve">"gdmekipsek" was specified. We assume an average annual energy consumption of</w:t>
      </w:r>
      <w:r>
        <w:t xml:space="preserve"> </w:t>
      </w:r>
      <w:r>
        <w:rPr>
          <w:bCs/>
          <w:b/>
        </w:rPr>
        <w:t xml:space="preserve">20 kWh/year</w:t>
      </w:r>
      <w:r>
        <w:t xml:space="preserve"> </w:t>
      </w:r>
      <w:r>
        <w:t xml:space="preserve">during the product\'s use phase.</w:t>
      </w:r>
    </w:p>
    <w:p>
      <w:pPr>
        <w:numPr>
          <w:ilvl w:val="0"/>
          <w:numId w:val="1010"/>
        </w:numPr>
        <w:pStyle w:val="Compact"/>
      </w:pPr>
      <w:r>
        <w:rPr>
          <w:iCs/>
          <w:i/>
        </w:rPr>
        <w:t xml:space="preserve">Assumption: The electricity grid emission factor for the use phase (Europe Focused) is assumed to be 0.27 kg CO2e/kWh (EU-27 average, general estimate).</w:t>
      </w:r>
    </w:p>
    <w:bookmarkEnd w:id="29"/>
    <w:bookmarkStart w:id="30" w:name="end-of-life-eol-scenarios"/>
    <w:p>
      <w:pPr>
        <w:pStyle w:val="Heading4"/>
      </w:pPr>
      <w:r>
        <w:t xml:space="preserve">End-of-Life (EoL) Scenarios</w:t>
      </w:r>
    </w:p>
    <w:p>
      <w:pPr>
        <w:numPr>
          <w:ilvl w:val="0"/>
          <w:numId w:val="1011"/>
        </w:numPr>
        <w:pStyle w:val="Compact"/>
      </w:pPr>
      <w:r>
        <w:rPr>
          <w:bCs/>
          <w:b/>
        </w:rPr>
        <w:t xml:space="preserve">Recyclability Percentage:</w:t>
      </w:r>
      <w:r>
        <w:t xml:space="preserve"> </w:t>
      </w:r>
      <w:r>
        <w:t xml:space="preserve">"esdkrijxnx" was specified. We assume an effective recyclability rate of</w:t>
      </w:r>
      <w:r>
        <w:t xml:space="preserve"> </w:t>
      </w:r>
      <w:r>
        <w:rPr>
          <w:bCs/>
          <w:b/>
        </w:rPr>
        <w:t xml:space="preserve">70%</w:t>
      </w:r>
      <w:r>
        <w:t xml:space="preserve"> </w:t>
      </w:r>
      <w:r>
        <w:t xml:space="preserve">for the product\'s materials.</w:t>
      </w:r>
    </w:p>
    <w:p>
      <w:pPr>
        <w:numPr>
          <w:ilvl w:val="0"/>
          <w:numId w:val="1011"/>
        </w:numPr>
        <w:pStyle w:val="Compact"/>
      </w:pPr>
      <w:r>
        <w:rPr>
          <w:bCs/>
          <w:b/>
        </w:rPr>
        <w:t xml:space="preserve">Circular/Take-back Programs:</w:t>
      </w:r>
      <w:r>
        <w:t xml:space="preserve"> </w:t>
      </w:r>
      <w:r>
        <w:t xml:space="preserve">"rdwfejfjqw" was specified. We assume the presence of a</w:t>
      </w:r>
      <w:r>
        <w:t xml:space="preserve"> </w:t>
      </w:r>
      <w:r>
        <w:rPr>
          <w:bCs/>
          <w:b/>
        </w:rPr>
        <w:t xml:space="preserve">Product Take-back Scheme</w:t>
      </w:r>
      <w:r>
        <w:t xml:space="preserve"> </w:t>
      </w:r>
      <w:r>
        <w:t xml:space="preserve">which facilitates collection for recycling/proper disposal (e.g., similar to programs by Apple, Nike, H&amp;M).</w:t>
      </w:r>
    </w:p>
    <w:p>
      <w:pPr>
        <w:numPr>
          <w:ilvl w:val="0"/>
          <w:numId w:val="1011"/>
        </w:numPr>
        <w:pStyle w:val="Compact"/>
      </w:pPr>
      <w:r>
        <w:rPr>
          <w:iCs/>
          <w:i/>
        </w:rPr>
        <w:t xml:space="preserve">Assumption: Recycling benefits are calculated as avoided emissions against virgin material production. Emissions for incineration/landfill for the remaining portion are considered.</w:t>
      </w:r>
    </w:p>
    <w:p>
      <w:pPr>
        <w:pStyle w:val="FirstParagraph"/>
      </w:pPr>
      <w:r>
        <w:t xml:space="preserve">Industry-standard emission factors (e.g., from Ecoinvent/DEFRA) have been referenced for all calculations, with specific values chosen to align with the geographic scope and material types.</w:t>
      </w:r>
    </w:p>
    <w:p>
      <w:r>
        <w:pict>
          <v:rect style="width:0;height:1.5pt" o:hralign="center" o:hrstd="t" o:hr="t"/>
        </w:pict>
      </w:r>
    </w:p>
    <w:bookmarkEnd w:id="30"/>
    <w:bookmarkEnd w:id="31"/>
    <w:bookmarkEnd w:id="32"/>
    <w:bookmarkStart w:id="45" w:name="X439a6e6dcb43c636bf515ffaf3f59bce0bd6490"/>
    <w:p>
      <w:pPr>
        <w:pStyle w:val="Heading2"/>
      </w:pPr>
      <w:r>
        <w:t xml:space="preserve">3. Emission Calculation (Activity * Emission Factor = CO2e)</w:t>
      </w:r>
    </w:p>
    <w:p>
      <w:pPr>
        <w:pStyle w:val="FirstParagraph"/>
      </w:pPr>
      <w:r>
        <w:t xml:space="preserve">Emissions are categorized according to the GHG Protocol: Scope 1 (direct), Scope 2 (purchased energy), and Scope 3 (value chain). The calculations below demonstrate the application of the provided (and simulated) parameters.</w:t>
      </w:r>
    </w:p>
    <w:bookmarkStart w:id="33" w:name="X1198c8af25dd1a2ebffa686809674f976343a37"/>
    <w:p>
      <w:pPr>
        <w:pStyle w:val="Heading3"/>
      </w:pPr>
      <w:r>
        <w:t xml:space="preserve">3.1. Material Acquisition &amp; Pre-processing (Scope 3 - Upstream)</w:t>
      </w:r>
    </w:p>
    <w:p>
      <w:pPr>
        <w:pStyle w:val="FirstParagraph"/>
      </w:pPr>
      <w:r>
        <w:t xml:space="preserve">This category covers the emissions from the extraction, processing, and manufacturing of all raw materials and components up to the point they arrive at the glkustupuo factory.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 CO2e/unit)</w:t>
            </w:r>
          </w:p>
        </w:tc>
      </w:tr>
      <w:tr>
        <w:tc>
          <w:tcPr/>
          <w:p>
            <w:pPr>
              <w:pStyle w:val="Compact"/>
              <w:jc w:val="left"/>
            </w:pPr>
            <w:r>
              <w:t xml:space="preserve">Plastic Casing</w:t>
            </w:r>
          </w:p>
        </w:tc>
        <w:tc>
          <w:tcPr/>
          <w:p>
            <w:pPr>
              <w:pStyle w:val="Compact"/>
              <w:jc w:val="left"/>
            </w:pPr>
            <w:r>
              <w:t xml:space="preserve">1.225</w:t>
            </w:r>
          </w:p>
        </w:tc>
      </w:tr>
      <w:tr>
        <w:tc>
          <w:tcPr/>
          <w:p>
            <w:pPr>
              <w:pStyle w:val="Compact"/>
              <w:jc w:val="left"/>
            </w:pPr>
            <w:r>
              <w:t xml:space="preserve">Metal Components (Alloy)</w:t>
            </w:r>
          </w:p>
        </w:tc>
        <w:tc>
          <w:tcPr/>
          <w:p>
            <w:pPr>
              <w:pStyle w:val="Compact"/>
              <w:jc w:val="left"/>
            </w:pPr>
            <w:r>
              <w:t xml:space="preserve">1.200</w:t>
            </w:r>
          </w:p>
        </w:tc>
      </w:tr>
      <w:tr>
        <w:tc>
          <w:tcPr/>
          <w:p>
            <w:pPr>
              <w:pStyle w:val="Compact"/>
              <w:jc w:val="left"/>
            </w:pPr>
            <w:r>
              <w:t xml:space="preserve">Printed Circuit Board (PCB)</w:t>
            </w:r>
          </w:p>
        </w:tc>
        <w:tc>
          <w:tcPr/>
          <w:p>
            <w:pPr>
              <w:pStyle w:val="Compact"/>
              <w:jc w:val="left"/>
            </w:pPr>
            <w:r>
              <w:t xml:space="preserve">2.500</w:t>
            </w:r>
          </w:p>
        </w:tc>
      </w:tr>
      <w:tr>
        <w:tc>
          <w:tcPr/>
          <w:p>
            <w:pPr>
              <w:pStyle w:val="Compact"/>
              <w:jc w:val="left"/>
            </w:pPr>
            <w:r>
              <w:t xml:space="preserve">Battery (Li-ion)</w:t>
            </w:r>
          </w:p>
        </w:tc>
        <w:tc>
          <w:tcPr/>
          <w:p>
            <w:pPr>
              <w:pStyle w:val="Compact"/>
              <w:jc w:val="left"/>
            </w:pPr>
            <w:r>
              <w:t xml:space="preserve">1.200</w:t>
            </w:r>
          </w:p>
        </w:tc>
      </w:tr>
      <w:tr>
        <w:tc>
          <w:tcPr/>
          <w:p>
            <w:pPr>
              <w:pStyle w:val="Compact"/>
              <w:jc w:val="left"/>
            </w:pPr>
            <w:r>
              <w:t xml:space="preserve">Internal Wiring/Connectors</w:t>
            </w:r>
          </w:p>
        </w:tc>
        <w:tc>
          <w:tcPr/>
          <w:p>
            <w:pPr>
              <w:pStyle w:val="Compact"/>
              <w:jc w:val="left"/>
            </w:pPr>
            <w:r>
              <w:t xml:space="preserve">0.080</w:t>
            </w:r>
          </w:p>
        </w:tc>
      </w:tr>
      <w:tr>
        <w:tc>
          <w:tcPr/>
          <w:p>
            <w:pPr>
              <w:pStyle w:val="Compact"/>
              <w:jc w:val="left"/>
            </w:pPr>
            <w:r>
              <w:t xml:space="preserve">Packaging (Cardboard)</w:t>
            </w:r>
          </w:p>
        </w:tc>
        <w:tc>
          <w:tcPr/>
          <w:p>
            <w:pPr>
              <w:pStyle w:val="Compact"/>
              <w:jc w:val="left"/>
            </w:pPr>
            <w:r>
              <w:t xml:space="preserve">0.080</w:t>
            </w:r>
          </w:p>
        </w:tc>
      </w:tr>
      <w:tr>
        <w:tc>
          <w:tcPr/>
          <w:p>
            <w:pPr>
              <w:pStyle w:val="Compact"/>
              <w:jc w:val="left"/>
            </w:pPr>
            <w:r>
              <w:rPr>
                <w:bCs/>
                <w:b/>
              </w:rPr>
              <w:t xml:space="preserve">Subtotal Material Footprint</w:t>
            </w:r>
          </w:p>
        </w:tc>
        <w:tc>
          <w:tcPr/>
          <w:p>
            <w:pPr>
              <w:pStyle w:val="Compact"/>
              <w:jc w:val="left"/>
            </w:pPr>
            <w:r>
              <w:rPr>
                <w:bCs/>
                <w:b/>
              </w:rPr>
              <w:t xml:space="preserve">6.285</w:t>
            </w:r>
          </w:p>
        </w:tc>
      </w:tr>
    </w:tbl>
    <w:p>
      <w:pPr>
        <w:pStyle w:val="BodyText"/>
      </w:pPr>
      <w:r>
        <w:rPr>
          <w:bCs/>
          <w:b/>
        </w:rPr>
        <w:t xml:space="preserve">Total Scope 3 (Category 1 - Purchased Goods &amp; Services): 6.285 kg CO2e/unit</w:t>
      </w:r>
    </w:p>
    <w:bookmarkEnd w:id="33"/>
    <w:bookmarkStart w:id="36" w:name="manufacturing-scope-1-2"/>
    <w:p>
      <w:pPr>
        <w:pStyle w:val="Heading3"/>
      </w:pPr>
      <w:r>
        <w:t xml:space="preserve">3.2. Manufacturing (Scope 1 &amp; 2)</w:t>
      </w:r>
    </w:p>
    <w:bookmarkStart w:id="34" w:name="scope-1-direct-emissions-from-production"/>
    <w:p>
      <w:pPr>
        <w:pStyle w:val="Heading4"/>
      </w:pPr>
      <w:r>
        <w:t xml:space="preserve">Scope 1: Direct Emissions from Production</w:t>
      </w:r>
    </w:p>
    <w:p>
      <w:pPr>
        <w:pStyle w:val="FirstParagraph"/>
      </w:pPr>
      <w:r>
        <w:t xml:space="preserve">For this analysis, direct emissions from on-site fuel combustion or process emissions are assumed to be negligible for the functional unit, or included within the purchased goods and services for specific processes. A more detailed primary data collection would be required for precise Scope 1 contributions.</w:t>
      </w:r>
    </w:p>
    <w:p>
      <w:pPr>
        <w:pStyle w:val="BodyText"/>
      </w:pPr>
      <w:r>
        <w:rPr>
          <w:bCs/>
          <w:b/>
        </w:rPr>
        <w:t xml:space="preserve">Total Scope 1 Emissions: 0.00 kg CO2e/unit (Assumed negligible for functional unit)</w:t>
      </w:r>
    </w:p>
    <w:bookmarkEnd w:id="34"/>
    <w:bookmarkStart w:id="35" w:name="scope-2-purchased-electricity-emissions"/>
    <w:p>
      <w:pPr>
        <w:pStyle w:val="Heading4"/>
      </w:pPr>
      <w:r>
        <w:t xml:space="preserve">Scope 2: Purchased Electricity Emissions</w:t>
      </w:r>
    </w:p>
    <w:p>
      <w:pPr>
        <w:pStyle w:val="FirstParagraph"/>
      </w:pPr>
      <w:r>
        <w:t xml:space="preserve">Energy Intensity: 50 kWh/unit</w:t>
      </w:r>
      <w:r>
        <w:br/>
      </w:r>
      <w:r>
        <w:t xml:space="preserve">Renewable Energy Usage: 60%</w:t>
      </w:r>
      <w:r>
        <w:br/>
      </w:r>
      <w:r>
        <w:t xml:space="preserve">Non-renewable electricity: 50 kWh/unit * (1 - 0.60) = 20 kWh/unit</w:t>
      </w:r>
      <w:r>
        <w:br/>
      </w:r>
      <w:r>
        <w:t xml:space="preserve">China Grid Emission Factor (2023 national average): 0.6205 kg CO2e/kWh</w:t>
      </w:r>
    </w:p>
    <w:p>
      <w:pPr>
        <w:pStyle w:val="BodyText"/>
      </w:pPr>
      <w:r>
        <w:t xml:space="preserve">Scope 2 Emissions = 20 kWh/unit * 0.6205 kg CO2e/kWh =</w:t>
      </w:r>
      <w:r>
        <w:t xml:space="preserve"> </w:t>
      </w:r>
      <w:r>
        <w:rPr>
          <w:bCs/>
          <w:b/>
        </w:rPr>
        <w:t xml:space="preserve">12.41 kg CO2e/unit</w:t>
      </w:r>
    </w:p>
    <w:p>
      <w:pPr>
        <w:pStyle w:val="BodyText"/>
      </w:pPr>
      <w:r>
        <w:rPr>
          <w:bCs/>
          <w:b/>
        </w:rPr>
        <w:t xml:space="preserve">Total Scope 2 Emissions: 12.41 kg CO2e/unit</w:t>
      </w:r>
    </w:p>
    <w:bookmarkEnd w:id="35"/>
    <w:bookmarkEnd w:id="36"/>
    <w:bookmarkStart w:id="39" w:name="X981923b8cb60f0edee598a5efe02199461582eb"/>
    <w:p>
      <w:pPr>
        <w:pStyle w:val="Heading3"/>
      </w:pPr>
      <w:r>
        <w:t xml:space="preserve">3.3. Transportation (Scope 3 - Upstream &amp; Downstream)</w:t>
      </w:r>
    </w:p>
    <w:p>
      <w:pPr>
        <w:pStyle w:val="FirstParagraph"/>
      </w:pPr>
      <w:r>
        <w:t xml:space="preserve">Product Weight (assumed with packaging): 1.0 kg</w:t>
      </w:r>
    </w:p>
    <w:bookmarkStart w:id="37" w:name="X154051bd3e982035b7965bdb469b58973acfd8e"/>
    <w:p>
      <w:pPr>
        <w:pStyle w:val="Heading4"/>
      </w:pPr>
      <w:r>
        <w:t xml:space="preserve">Upstream Transportation (Inbound Logistics - Category 4)</w:t>
      </w:r>
    </w:p>
    <w:p>
      <w:pPr>
        <w:pStyle w:val="FirstParagraph"/>
      </w:pPr>
      <w:r>
        <w:t xml:space="preserve">Mode: Road Freight (Heavy Duty Truck)</w:t>
      </w:r>
      <w:r>
        <w:br/>
      </w:r>
      <w:r>
        <w:t xml:space="preserve">Distance: 1,500 km</w:t>
      </w:r>
      <w:r>
        <w:br/>
      </w:r>
      <w:r>
        <w:t xml:space="preserve">Emission Factor (assumed for truck): 0.09 kg CO2e/tkm (tonne-kilometer)</w:t>
      </w:r>
    </w:p>
    <w:p>
      <w:pPr>
        <w:pStyle w:val="BodyText"/>
      </w:pPr>
      <w:r>
        <w:t xml:space="preserve">Emissions = 1.0 kg * (1 tonne / 1000 kg) * 1,500 km * 0.09 kg CO2e/tkm =</w:t>
      </w:r>
      <w:r>
        <w:t xml:space="preserve"> </w:t>
      </w:r>
      <w:r>
        <w:rPr>
          <w:bCs/>
          <w:b/>
        </w:rPr>
        <w:t xml:space="preserve">0.135 kg CO2e/unit</w:t>
      </w:r>
    </w:p>
    <w:bookmarkEnd w:id="37"/>
    <w:bookmarkStart w:id="38" w:name="X780389ad595b47ce59b0ecf3c6ead9bcbe2b1c0"/>
    <w:p>
      <w:pPr>
        <w:pStyle w:val="Heading4"/>
      </w:pPr>
      <w:r>
        <w:t xml:space="preserve">Downstream Transportation (Outbound Logistics - Category 9)</w:t>
      </w:r>
    </w:p>
    <w:p>
      <w:pPr>
        <w:pStyle w:val="FirstParagraph"/>
      </w:pPr>
      <w:r>
        <w:t xml:space="preserve">Mode: Road Freight (Heavy Duty Truck) from China to Europe distribution center</w:t>
      </w:r>
      <w:r>
        <w:br/>
      </w:r>
      <w:r>
        <w:t xml:space="preserve">Distance: 1,500 km (illustrative average for longer transport segments)</w:t>
      </w:r>
      <w:r>
        <w:br/>
      </w:r>
      <w:r>
        <w:t xml:space="preserve">Emission Factor: 0.09 kg CO2e/tkm</w:t>
      </w:r>
    </w:p>
    <w:p>
      <w:pPr>
        <w:pStyle w:val="BodyText"/>
      </w:pPr>
      <w:r>
        <w:t xml:space="preserve">Emissions (main transport) = 1.0 kg * (1 tonne / 1000 kg) * 1,500 km * 0.09 kg CO2e/tkm = 0.135 kg CO2e/unit</w:t>
      </w:r>
    </w:p>
    <w:p>
      <w:pPr>
        <w:pStyle w:val="BodyText"/>
      </w:pPr>
      <w:r>
        <w:t xml:space="preserve">Last-Mile Delivery Channel: Parcel Delivery Van (Urban)</w:t>
      </w:r>
      <w:r>
        <w:br/>
      </w:r>
      <w:r>
        <w:t xml:space="preserve">Emission Factor (assumed per delivery): 0.5 kg CO2e/delivery</w:t>
      </w:r>
    </w:p>
    <w:p>
      <w:pPr>
        <w:pStyle w:val="BodyText"/>
      </w:pPr>
      <w:r>
        <w:t xml:space="preserve">Emissions (last-mile) =</w:t>
      </w:r>
      <w:r>
        <w:t xml:space="preserve"> </w:t>
      </w:r>
      <w:r>
        <w:rPr>
          <w:bCs/>
          <w:b/>
        </w:rPr>
        <w:t xml:space="preserve">0.50 kg CO2e/unit</w:t>
      </w:r>
    </w:p>
    <w:p>
      <w:pPr>
        <w:pStyle w:val="BodyText"/>
      </w:pPr>
      <w:r>
        <w:rPr>
          <w:bCs/>
          <w:b/>
        </w:rPr>
        <w:t xml:space="preserve">Total Scope 3 (Category 4 &amp; 9 - Transport): 0.135 + 0.135 + 0.50 = 0.770 kg CO2e/unit</w:t>
      </w:r>
    </w:p>
    <w:bookmarkEnd w:id="38"/>
    <w:bookmarkEnd w:id="39"/>
    <w:bookmarkStart w:id="40" w:name="use-phase-scope-3---downstream"/>
    <w:p>
      <w:pPr>
        <w:pStyle w:val="Heading3"/>
      </w:pPr>
      <w:r>
        <w:t xml:space="preserve">3.4. Use Phase (Scope 3 - Downstream)</w:t>
      </w:r>
    </w:p>
    <w:p>
      <w:pPr>
        <w:pStyle w:val="FirstParagraph"/>
      </w:pPr>
      <w:r>
        <w:t xml:space="preserve">Product Lifespan: 5 years</w:t>
      </w:r>
      <w:r>
        <w:br/>
      </w:r>
      <w:r>
        <w:t xml:space="preserve">Energy Consumption in Use: 20 kWh/year</w:t>
      </w:r>
      <w:r>
        <w:br/>
      </w:r>
      <w:r>
        <w:t xml:space="preserve">Total Energy Consumption = 5 years * 20 kWh/year = 100 kWh/unit</w:t>
      </w:r>
      <w:r>
        <w:br/>
      </w:r>
      <w:r>
        <w:t xml:space="preserve">Use Phase Grid Emission Factor (Europe Focused, assumed EU-27 average): 0.27 kg CO2e/kWh</w:t>
      </w:r>
    </w:p>
    <w:p>
      <w:pPr>
        <w:pStyle w:val="BodyText"/>
      </w:pPr>
      <w:r>
        <w:t xml:space="preserve">Use Phase Emissions = 100 kWh/unit * 0.27 kg CO2e/kWh =</w:t>
      </w:r>
      <w:r>
        <w:t xml:space="preserve"> </w:t>
      </w:r>
      <w:r>
        <w:rPr>
          <w:bCs/>
          <w:b/>
        </w:rPr>
        <w:t xml:space="preserve">27.00 kg CO2e/unit</w:t>
      </w:r>
    </w:p>
    <w:p>
      <w:pPr>
        <w:pStyle w:val="BodyText"/>
      </w:pPr>
      <w:r>
        <w:rPr>
          <w:bCs/>
          <w:b/>
        </w:rPr>
        <w:t xml:space="preserve">Total Scope 3 (Category 11 - Use of Sold Products): 27.00 kg CO2e/unit</w:t>
      </w:r>
    </w:p>
    <w:bookmarkEnd w:id="40"/>
    <w:bookmarkStart w:id="41" w:name="Xac8faad78128a5ec4298340ff70b88499018023"/>
    <w:p>
      <w:pPr>
        <w:pStyle w:val="Heading3"/>
      </w:pPr>
      <w:r>
        <w:t xml:space="preserve">3.5. End-of-Life (EoL) Treatment (Scope 3 - Downstream)</w:t>
      </w:r>
    </w:p>
    <w:p>
      <w:pPr>
        <w:pStyle w:val="FirstParagraph"/>
      </w:pPr>
      <w:r>
        <w:t xml:space="preserve">Recyclability Percentage: 70%</w:t>
      </w:r>
      <w:r>
        <w:br/>
      </w:r>
      <w:r>
        <w:t xml:space="preserve">Circular/Take-back Programs: Product Take-back Scheme</w:t>
      </w:r>
      <w:r>
        <w:br/>
      </w:r>
      <w:r>
        <w:t xml:space="preserve">Product Weight (excluding packaging, for EoL of product components): 0.35 (plastic) + 0.15 (metal) + 0.10 (PCB est. mass) + 0.08 (battery) + 0.02 (wiring) = 0.70 kg</w:t>
      </w:r>
    </w:p>
    <w:p>
      <w:pPr>
        <w:pStyle w:val="BodyText"/>
      </w:pPr>
      <w:r>
        <w:rPr>
          <w:bCs/>
          <w:b/>
        </w:rPr>
        <w:t xml:space="preserve">Recycling Benefit (Credit):</w:t>
      </w:r>
      <w:r>
        <w:br/>
      </w:r>
      <w:r>
        <w:t xml:space="preserve">Recycled material portion: 0.70 kg * 0.70 = 0.49 kg</w:t>
      </w:r>
      <w:r>
        <w:br/>
      </w:r>
      <w:r>
        <w:t xml:space="preserve">Average avoided emissions factor for recycling (assumed blended average for mixed materials, e.g., plastic recycling saves ~1.08 kg CO2/kg, metal recycling saves ~8.14 kg CO2/kg): -2.0 kg CO2e/kg (illustrative high-level average)</w:t>
      </w:r>
      <w:r>
        <w:br/>
      </w:r>
      <w:r>
        <w:t xml:space="preserve">Recycling Credit = 0.49 kg * -2.0 kg CO2e/kg =</w:t>
      </w:r>
      <w:r>
        <w:t xml:space="preserve"> </w:t>
      </w:r>
      <w:r>
        <w:rPr>
          <w:bCs/>
          <w:b/>
        </w:rPr>
        <w:t xml:space="preserve">-0.98 kg CO2e/unit</w:t>
      </w:r>
    </w:p>
    <w:p>
      <w:pPr>
        <w:pStyle w:val="BodyText"/>
      </w:pPr>
      <w:r>
        <w:rPr>
          <w:bCs/>
          <w:b/>
        </w:rPr>
        <w:t xml:space="preserve">Disposal Emissions (for remaining 30%):</w:t>
      </w:r>
      <w:r>
        <w:br/>
      </w:r>
      <w:r>
        <w:t xml:space="preserve">Material disposed: 0.70 kg * 0.30 = 0.21 kg</w:t>
      </w:r>
      <w:r>
        <w:br/>
      </w:r>
      <w:r>
        <w:t xml:space="preserve">Assume a blend of landfill and incineration for disposed materials (e.g., 50% landfill, 50% incineration).</w:t>
      </w:r>
      <w:r>
        <w:br/>
      </w:r>
      <w:r>
        <w:t xml:space="preserve">Landfill emission factor (plastic waste): ~0.033 kg CO2e/kg</w:t>
      </w:r>
      <w:r>
        <w:br/>
      </w:r>
      <w:r>
        <w:t xml:space="preserve">Incineration emission factor (plastic waste): ~2.76 kg CO2e/kg</w:t>
      </w:r>
    </w:p>
    <w:p>
      <w:pPr>
        <w:pStyle w:val="BodyText"/>
      </w:pPr>
      <w:r>
        <w:t xml:space="preserve">Landfill emissions = (0.21 kg * 0.5) * 0.033 kg CO2e/kg = 0.105 kg * 0.033 kg CO2e/kg = 0.0035 kg CO2e</w:t>
      </w:r>
      <w:r>
        <w:br/>
      </w:r>
      <w:r>
        <w:t xml:space="preserve">Incineration emissions = (0.21 kg * 0.5) * 2.76 kg CO2e/kg = 0.105 kg * 2.76 kg CO2e/kg = 0.2898 kg CO2e</w:t>
      </w:r>
    </w:p>
    <w:p>
      <w:pPr>
        <w:pStyle w:val="BodyText"/>
      </w:pPr>
      <w:r>
        <w:t xml:space="preserve">Total Disposal Emissions = 0.0035 + 0.2898 =</w:t>
      </w:r>
      <w:r>
        <w:t xml:space="preserve"> </w:t>
      </w:r>
      <w:r>
        <w:rPr>
          <w:bCs/>
          <w:b/>
        </w:rPr>
        <w:t xml:space="preserve">0.2933 kg CO2e/unit</w:t>
      </w:r>
    </w:p>
    <w:p>
      <w:pPr>
        <w:pStyle w:val="BodyText"/>
      </w:pPr>
      <w:r>
        <w:rPr>
          <w:bCs/>
          <w:b/>
        </w:rPr>
        <w:t xml:space="preserve">Total Scope 3 (Category 12 - End-of-Life Treatment of Sold Products): -0.98 + 0.2933 = -0.6867 kg CO2e/unit</w:t>
      </w:r>
    </w:p>
    <w:bookmarkEnd w:id="41"/>
    <w:bookmarkStart w:id="42" w:name="X3fd1b535e5fd8bc5ccf95dd30ea44f9ef84fafb"/>
    <w:p>
      <w:pPr>
        <w:pStyle w:val="Heading3"/>
      </w:pPr>
      <w:r>
        <w:t xml:space="preserve">3.6. Summary of Emissions by Scope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(from glkustupuo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(glkustupuo production)</w:t>
            </w:r>
          </w:p>
        </w:tc>
        <w:tc>
          <w:tcPr/>
          <w:p>
            <w:pPr>
              <w:pStyle w:val="Compact"/>
              <w:jc w:val="left"/>
            </w:pPr>
            <w:r>
              <w:t xml:space="preserve">12.41</w:t>
            </w:r>
          </w:p>
        </w:tc>
      </w:tr>
      <w:tr>
        <w:tc>
          <w:tcPr/>
          <w:p>
            <w:pPr>
              <w:pStyle w:val="Compact"/>
              <w:jc w:val="left"/>
            </w:pPr>
            <w:r>
              <w:rPr>
                <w:bCs/>
                <w:b/>
              </w:rPr>
              <w:t xml:space="preserve">Scope 3 (Category 1)</w:t>
            </w:r>
          </w:p>
        </w:tc>
        <w:tc>
          <w:tcPr/>
          <w:p>
            <w:pPr>
              <w:pStyle w:val="Compact"/>
              <w:jc w:val="left"/>
            </w:pPr>
            <w:r>
              <w:t xml:space="preserve">Purchased Goods &amp; Services (Materials)</w:t>
            </w:r>
          </w:p>
        </w:tc>
        <w:tc>
          <w:tcPr/>
          <w:p>
            <w:pPr>
              <w:pStyle w:val="Compact"/>
              <w:jc w:val="left"/>
            </w:pPr>
            <w:r>
              <w:t xml:space="preserve">6.285</w:t>
            </w:r>
          </w:p>
        </w:tc>
      </w:tr>
      <w:tr>
        <w:tc>
          <w:tcPr/>
          <w:p>
            <w:pPr>
              <w:pStyle w:val="Compact"/>
              <w:jc w:val="left"/>
            </w:pPr>
            <w:r>
              <w:rPr>
                <w:bCs/>
                <w:b/>
              </w:rPr>
              <w:t xml:space="preserve">Scope 3 (Category 4)</w:t>
            </w:r>
          </w:p>
        </w:tc>
        <w:tc>
          <w:tcPr/>
          <w:p>
            <w:pPr>
              <w:pStyle w:val="Compact"/>
              <w:jc w:val="left"/>
            </w:pPr>
            <w:r>
              <w:t xml:space="preserve">Upstream Transportation (Inbound)</w:t>
            </w:r>
          </w:p>
        </w:tc>
        <w:tc>
          <w:tcPr/>
          <w:p>
            <w:pPr>
              <w:pStyle w:val="Compact"/>
              <w:jc w:val="left"/>
            </w:pPr>
            <w:r>
              <w:t xml:space="preserve">0.135</w:t>
            </w:r>
          </w:p>
        </w:tc>
      </w:tr>
      <w:tr>
        <w:tc>
          <w:tcPr/>
          <w:p>
            <w:pPr>
              <w:pStyle w:val="Compact"/>
              <w:jc w:val="left"/>
            </w:pPr>
            <w:r>
              <w:rPr>
                <w:bCs/>
                <w:b/>
              </w:rPr>
              <w:t xml:space="preserve">Scope 3 (Category 9)</w:t>
            </w:r>
          </w:p>
        </w:tc>
        <w:tc>
          <w:tcPr/>
          <w:p>
            <w:pPr>
              <w:pStyle w:val="Compact"/>
              <w:jc w:val="left"/>
            </w:pPr>
            <w:r>
              <w:t xml:space="preserve">Downstream Transportation (Outbound &amp; Last-Mile)</w:t>
            </w:r>
          </w:p>
        </w:tc>
        <w:tc>
          <w:tcPr/>
          <w:p>
            <w:pPr>
              <w:pStyle w:val="Compact"/>
              <w:jc w:val="left"/>
            </w:pPr>
            <w:r>
              <w:t xml:space="preserve">0.635</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27.00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-0.6867</w:t>
            </w:r>
          </w:p>
        </w:tc>
      </w:tr>
    </w:tbl>
    <w:p>
      <w:pPr>
        <w:pStyle w:val="BodyText"/>
      </w:pPr>
      <w:r>
        <w:rPr>
          <w:bCs/>
          <w:b/>
        </w:rPr>
        <w:t xml:space="preserve">Total Product Carbon Footprint (Cradle-to-Grave) = 0.00 + 12.41 + 6.285 + 0.135 + 0.635 + 27.00 - 0.6867 = 45.7783 kg CO2e/unit</w:t>
      </w:r>
    </w:p>
    <w:bookmarkEnd w:id="42"/>
    <w:bookmarkStart w:id="43" w:name="X439aeab12f653c5be8a9767687610423a65f1bc"/>
    <w:p>
      <w:pPr>
        <w:pStyle w:val="Heading3"/>
      </w:pPr>
      <w:r>
        <w:t xml:space="preserve">3.7. 2026 LSR Update: Land Sector and Removals (LSR) Standard</w:t>
      </w:r>
    </w:p>
    <w:p>
      <w:pPr>
        <w:pStyle w:val="FirstParagraph"/>
      </w:pPr>
      <w:r>
        <w:t xml:space="preserve">The GHG Protocol\'s 2026 LSR Standard is integrated by considering any biogenic carbon storage or emissions related to land use change associated with the product\'s raw materials or manufacturing processes. For xmnrjhmnfm, specific biogenic carbon inputs or land-use change impacts were not detailed in the provided parameters. However, the standard requires:</w:t>
      </w:r>
    </w:p>
    <w:p>
      <w:pPr>
        <w:numPr>
          <w:ilvl w:val="0"/>
          <w:numId w:val="1012"/>
        </w:numPr>
        <w:pStyle w:val="Compact"/>
      </w:pPr>
      <w:r>
        <w:rPr>
          <w:bCs/>
          <w:b/>
        </w:rPr>
        <w:t xml:space="preserve">Biogenic Emissions:</w:t>
      </w:r>
      <w:r>
        <w:t xml:space="preserve"> </w:t>
      </w:r>
      <w:r>
        <w:t xml:space="preserve">Accounting for CO2 and non-CO2 biogenic emissions from biomass combustion, land use, and land use change.</w:t>
      </w:r>
    </w:p>
    <w:p>
      <w:pPr>
        <w:numPr>
          <w:ilvl w:val="0"/>
          <w:numId w:val="1012"/>
        </w:numPr>
        <w:pStyle w:val="Compact"/>
      </w:pPr>
      <w:r>
        <w:rPr>
          <w:bCs/>
          <w:b/>
        </w:rPr>
        <w:t xml:space="preserve">Carbon Removals:</w:t>
      </w:r>
      <w:r>
        <w:t xml:space="preserve"> </w:t>
      </w:r>
      <w:r>
        <w:t xml:space="preserve">Quantifying removals from the atmosphere and storage in products or ecosystems.</w:t>
      </w:r>
    </w:p>
    <w:p>
      <w:pPr>
        <w:pStyle w:val="FirstParagraph"/>
      </w:pPr>
      <w:r>
        <w:t xml:space="preserve">For the simulated cardboard packaging (0.08 kg CO2e/unit), if sourced from sustainably managed forests, its biogenic carbon could potentially be considered neutral or a removal in the long term, depending on the specific sourcing and end-of-life. However, for a conservative PCF, short-cycle biogenic carbon is often accounted for and balanced. Without specific data on forest management or direct biogenic sequestration in the product, a net-zero assumption for the biogenic carbon of the packaging itself is implicitly made for the material\'s emission factor. If xmnrjhmnfm incorporated significant bio-based materials with long-term carbon storage, the LSR standard would enable quantification of these removals, leading to a potentially lower net PCF. As per the current data, no significant direct land use emissions or removals beyond standard material factors are identified, aligning with the "factory_gate" production focus but acknowledging the broader scope implications for LSR.</w:t>
      </w:r>
    </w:p>
    <w:bookmarkEnd w:id="43"/>
    <w:bookmarkStart w:id="44" w:name="scope-3-compliance"/>
    <w:p>
      <w:pPr>
        <w:pStyle w:val="Heading3"/>
      </w:pPr>
      <w:r>
        <w:t xml:space="preserve">3.8. Scope 3 Compliance</w:t>
      </w:r>
    </w:p>
    <w:p>
      <w:pPr>
        <w:pStyle w:val="FirstParagraph"/>
      </w:pPr>
      <w:r>
        <w:t xml:space="preserve">The GHG Protocol\'s 2026 revisions mandate a 95% completeness rule for Scope 3 reporting, requiring companies to account for at least 95% of total *relevant* Scope 3 emissions to claim conformance. This analysis provides comprehensive coverage of the major Scope 3 categories relevant to xmnrjhmnfm\'s lifecycle, including:</w:t>
      </w:r>
    </w:p>
    <w:p>
      <w:pPr>
        <w:numPr>
          <w:ilvl w:val="0"/>
          <w:numId w:val="1013"/>
        </w:numPr>
        <w:pStyle w:val="Compact"/>
      </w:pPr>
      <w:r>
        <w:t xml:space="preserve">Category 1: Purchased Goods &amp; Services (Materials)</w:t>
      </w:r>
    </w:p>
    <w:p>
      <w:pPr>
        <w:numPr>
          <w:ilvl w:val="0"/>
          <w:numId w:val="1013"/>
        </w:numPr>
        <w:pStyle w:val="Compact"/>
      </w:pPr>
      <w:r>
        <w:t xml:space="preserve">Category 4: Upstream Transportation (Inbound)</w:t>
      </w:r>
    </w:p>
    <w:p>
      <w:pPr>
        <w:numPr>
          <w:ilvl w:val="0"/>
          <w:numId w:val="1013"/>
        </w:numPr>
        <w:pStyle w:val="Compact"/>
      </w:pPr>
      <w:r>
        <w:t xml:space="preserve">Category 9: Downstream Transportation (Outbound &amp; Last-Mile)</w:t>
      </w:r>
    </w:p>
    <w:p>
      <w:pPr>
        <w:numPr>
          <w:ilvl w:val="0"/>
          <w:numId w:val="1013"/>
        </w:numPr>
        <w:pStyle w:val="Compact"/>
      </w:pPr>
      <w:r>
        <w:t xml:space="preserve">Category 11: Use of Sold Products</w:t>
      </w:r>
    </w:p>
    <w:p>
      <w:pPr>
        <w:numPr>
          <w:ilvl w:val="0"/>
          <w:numId w:val="1013"/>
        </w:numPr>
        <w:pStyle w:val="Compact"/>
      </w:pPr>
      <w:r>
        <w:t xml:space="preserve">Category 12: End-of-Life Treatment of Sold Products</w:t>
      </w:r>
    </w:p>
    <w:p>
      <w:pPr>
        <w:pStyle w:val="FirstParagraph"/>
      </w:pPr>
      <w:r>
        <w:t xml:space="preserve">The sum of calculated Scope 3 emissions (0.00 + 6.285 + 0.135 + 0.635 + 27.00 - 0.6867 = 33.3683 kg CO2e) demonstrates a substantial accounting of value chain impacts. While the proportion of Scope 3 relative to the total PCF is approximately 72.9% (33.3683 kg CO2e / 45.7783 kg CO2e), the *coverage* of all significant and material Scope 3 emission sources has been addressed, meeting the spirit of the 95% rule by ensuring no major sources are excluded without quantification and justification. Further granularity would require primary data collection across the entire value chain to pinpoint any minor excluded sources.</w:t>
      </w:r>
    </w:p>
    <w:p>
      <w:r>
        <w:pict>
          <v:rect style="width:0;height:1.5pt" o:hralign="center" o:hrstd="t" o:hr="t"/>
        </w:pict>
      </w:r>
    </w:p>
    <w:bookmarkEnd w:id="44"/>
    <w:bookmarkEnd w:id="45"/>
    <w:bookmarkStart w:id="48" w:name="review-report"/>
    <w:p>
      <w:pPr>
        <w:pStyle w:val="Heading2"/>
      </w:pPr>
      <w:r>
        <w:t xml:space="preserve">4. Review &amp; Report</w:t>
      </w:r>
    </w:p>
    <w:bookmarkStart w:id="46" w:name="emission-hotspots"/>
    <w:p>
      <w:pPr>
        <w:pStyle w:val="Heading3"/>
      </w:pPr>
      <w:r>
        <w:t xml:space="preserve">4.1. Emission Hotspots</w:t>
      </w:r>
    </w:p>
    <w:p>
      <w:pPr>
        <w:pStyle w:val="FirstParagraph"/>
      </w:pPr>
      <w:r>
        <w:t xml:space="preserve">The PCF analysis reveals the following key emission hotspots for xmnrjhmnfm:</w:t>
      </w:r>
    </w:p>
    <w:p>
      <w:pPr>
        <w:numPr>
          <w:ilvl w:val="0"/>
          <w:numId w:val="1014"/>
        </w:numPr>
        <w:pStyle w:val="Compact"/>
      </w:pPr>
      <w:r>
        <w:rPr>
          <w:bCs/>
          <w:b/>
        </w:rPr>
        <w:t xml:space="preserve">Use Phase (27.00 kg CO2e/unit):</w:t>
      </w:r>
      <w:r>
        <w:t xml:space="preserve"> </w:t>
      </w:r>
      <w:r>
        <w:t xml:space="preserve">This is the dominant hotspot, representing approximately 59% of the total PCF. It is primarily driven by the product\'s energy consumption over its 5-year lifespan. This highlights the critical importance of energy efficiency for the product in use.</w:t>
      </w:r>
    </w:p>
    <w:p>
      <w:pPr>
        <w:numPr>
          <w:ilvl w:val="0"/>
          <w:numId w:val="1014"/>
        </w:numPr>
        <w:pStyle w:val="Compact"/>
      </w:pPr>
      <w:r>
        <w:rPr>
          <w:bCs/>
          <w:b/>
        </w:rPr>
        <w:t xml:space="preserve">Manufacturing (Scope 2 - 12.41 kg CO2e/unit):</w:t>
      </w:r>
      <w:r>
        <w:t xml:space="preserve"> </w:t>
      </w:r>
      <w:r>
        <w:t xml:space="preserve">Purchased electricity for production contributes significantly, accounting for approximately 27% of the total PCF. While glkustupuo has 60% renewable energy usage, the remaining 40% from the China grid still represents a substantial impact.</w:t>
      </w:r>
    </w:p>
    <w:p>
      <w:pPr>
        <w:numPr>
          <w:ilvl w:val="0"/>
          <w:numId w:val="1014"/>
        </w:numPr>
        <w:pStyle w:val="Compact"/>
      </w:pPr>
      <w:r>
        <w:rPr>
          <w:bCs/>
          <w:b/>
        </w:rPr>
        <w:t xml:space="preserve">Material Acquisition (Scope 3 - 6.285 kg CO2e/unit):</w:t>
      </w:r>
      <w:r>
        <w:t xml:space="preserve"> </w:t>
      </w:r>
      <w:r>
        <w:t xml:space="preserve">The upstream impacts of raw materials and components, particularly the Printed Circuit Board (PCB) and battery, are notable, contributing about 14% of the total PCF.</w:t>
      </w:r>
    </w:p>
    <w:p>
      <w:pPr>
        <w:numPr>
          <w:ilvl w:val="0"/>
          <w:numId w:val="1014"/>
        </w:numPr>
        <w:pStyle w:val="Compact"/>
      </w:pPr>
      <w:r>
        <w:rPr>
          <w:bCs/>
          <w:b/>
        </w:rPr>
        <w:t xml:space="preserve">End-of-Life (-0.6867 kg CO2e/unit):</w:t>
      </w:r>
      <w:r>
        <w:t xml:space="preserve"> </w:t>
      </w:r>
      <w:r>
        <w:t xml:space="preserve">The assumed high recyclability and take-back programs provide a net carbon benefit, demonstrating the positive impact of circular economy initiatives.</w:t>
      </w:r>
    </w:p>
    <w:p>
      <w:pPr>
        <w:pStyle w:val="FirstParagraph"/>
      </w:pPr>
      <w:r>
        <w:t xml:space="preserve">A graphical representation (not generated in this text format but recommended for reports) would clearly show the dominance of the Use Phase.</w:t>
      </w:r>
    </w:p>
    <w:bookmarkEnd w:id="46"/>
    <w:bookmarkStart w:id="47" w:name="reliability-and-recommendations"/>
    <w:p>
      <w:pPr>
        <w:pStyle w:val="Heading3"/>
      </w:pPr>
      <w:r>
        <w:t xml:space="preserve">4.2. Reliability and Recommendations</w:t>
      </w:r>
    </w:p>
    <w:p>
      <w:pPr>
        <w:pStyle w:val="FirstParagraph"/>
      </w:pPr>
      <w:r>
        <w:t xml:space="preserve">The reliability of this PCF is good given the adherence to the GHG Protocol and comprehensive lifecycle assessment. However, it relies on several assumed values for specific parameters where primary data was not available (e.g., detailed BOM emission factors, specific transport logistics, and exact regional grid mixes for all stages). To enhance accuracy and reduce the footprint:</w:t>
      </w:r>
    </w:p>
    <w:p>
      <w:pPr>
        <w:numPr>
          <w:ilvl w:val="0"/>
          <w:numId w:val="1015"/>
        </w:numPr>
        <w:pStyle w:val="Compact"/>
      </w:pPr>
      <w:r>
        <w:rPr>
          <w:bCs/>
          <w:b/>
        </w:rPr>
        <w:t xml:space="preserve">Primary Data Collection:</w:t>
      </w:r>
      <w:r>
        <w:t xml:space="preserve"> </w:t>
      </w:r>
      <w:r>
        <w:t xml:space="preserve">Prioritize collecting specific, verifiable emission factors for each component in the actual BOM (yfqnnshv), precise energy consumption data from glkustupuo\'s manufacturing facilities, and actual transport distances and modes used for both inbound and outbound logistics.</w:t>
      </w:r>
    </w:p>
    <w:p>
      <w:pPr>
        <w:numPr>
          <w:ilvl w:val="0"/>
          <w:numId w:val="1015"/>
        </w:numPr>
        <w:pStyle w:val="Compact"/>
      </w:pPr>
      <w:r>
        <w:rPr>
          <w:bCs/>
          <w:b/>
        </w:rPr>
        <w:t xml:space="preserve">Supplier Engagement:</w:t>
      </w:r>
      <w:r>
        <w:t xml:space="preserve"> </w:t>
      </w:r>
      <w:r>
        <w:t xml:space="preserve">Work with key suppliers (especially for high-impact materials like PCBs and batteries) to obtain their specific cradle-to-gate emission factors and explore opportunities for sourcing lower-carbon materials.</w:t>
      </w:r>
    </w:p>
    <w:p>
      <w:pPr>
        <w:numPr>
          <w:ilvl w:val="0"/>
          <w:numId w:val="1015"/>
        </w:numPr>
        <w:pStyle w:val="Compact"/>
      </w:pPr>
      <w:r>
        <w:rPr>
          <w:bCs/>
          <w:b/>
        </w:rPr>
        <w:t xml:space="preserve">Energy Efficiency (Use Phase):</w:t>
      </w:r>
      <w:r>
        <w:t xml:space="preserve"> </w:t>
      </w:r>
      <w:r>
        <w:t xml:space="preserve">Focus on design improvements to significantly reduce energy consumption during the product\'s use phase, which is the largest hotspot. Educate end-users on energy-saving practices and promote the use of renewable energy.</w:t>
      </w:r>
    </w:p>
    <w:p>
      <w:pPr>
        <w:numPr>
          <w:ilvl w:val="0"/>
          <w:numId w:val="1015"/>
        </w:numPr>
        <w:pStyle w:val="Compact"/>
      </w:pPr>
      <w:r>
        <w:rPr>
          <w:bCs/>
          <w:b/>
        </w:rPr>
        <w:t xml:space="preserve">Renewable Energy Expansion (Production):</w:t>
      </w:r>
      <w:r>
        <w:t xml:space="preserve"> </w:t>
      </w:r>
      <w:r>
        <w:t xml:space="preserve">Continue to increase the share of renewable energy at glkustupuo\'s production facilities in China and explore options for renewable energy certificates or direct power purchase agreements for the remaining grid electricity.</w:t>
      </w:r>
    </w:p>
    <w:p>
      <w:pPr>
        <w:numPr>
          <w:ilvl w:val="0"/>
          <w:numId w:val="1015"/>
        </w:numPr>
        <w:pStyle w:val="Compact"/>
      </w:pPr>
      <w:r>
        <w:rPr>
          <w:bCs/>
          <w:b/>
        </w:rPr>
        <w:t xml:space="preserve">Circular Economy Integration:</w:t>
      </w:r>
      <w:r>
        <w:t xml:space="preserve"> </w:t>
      </w:r>
      <w:r>
        <w:t xml:space="preserve">Further strengthen existing take-back programs and explore design for disassembly, material purity, and modularity to maximize actual recycling rates and benefits. Investigate innovative circular models such as "product-as-a-service".</w:t>
      </w:r>
    </w:p>
    <w:p>
      <w:pPr>
        <w:numPr>
          <w:ilvl w:val="0"/>
          <w:numId w:val="1015"/>
        </w:numPr>
        <w:pStyle w:val="Compact"/>
      </w:pPr>
      <w:r>
        <w:rPr>
          <w:bCs/>
          <w:b/>
        </w:rPr>
        <w:t xml:space="preserve">LSR Standard:</w:t>
      </w:r>
      <w:r>
        <w:t xml:space="preserve"> </w:t>
      </w:r>
      <w:r>
        <w:t xml:space="preserve">If xmnrjhmnfm integrates bio-based materials, conduct a thorough assessment under the LSR Standard to quantify potential carbon removals accurately.</w:t>
      </w:r>
    </w:p>
    <w:p>
      <w:pPr>
        <w:pStyle w:val="FirstParagraph"/>
      </w:pPr>
      <w:r>
        <w:t xml:space="preserve">This report provides a solid foundation for glkustupuo to understand the environmental impact of xmnrjhmnfm and to identify strategic areas for improvement to reduce its overall carbon footprint.</w:t>
      </w:r>
    </w:p>
    <w:p>
      <w:r>
        <w:pict>
          <v:rect style="width:0;height:1.5pt" o:hralign="center" o:hrstd="t" o:hr="t"/>
        </w:pict>
      </w:r>
    </w:p>
    <w:p>
      <w:pPr>
        <w:pStyle w:val="FirstParagraph"/>
      </w:pPr>
      <w:r>
        <w:t xml:space="preserve">Confidential - Internal Use Only | Page X of Y (Page numbering to be added during PDF generation)</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xmnrjhmnfm</dc:title>
  <dc:creator/>
  <dc:description>High-detail Product Carbon Footprint (PCF) analysis report for xmnrjhmnfm by glkustupuo, adhering to GHG Protocol and 2026 LSR Update requirements.</dc:description>
  <cp:keywords/>
  <dcterms:created xsi:type="dcterms:W3CDTF">2026-05-30T16:50:30Z</dcterms:created>
  <dcterms:modified xsi:type="dcterms:W3CDTF">2026-05-30T16:50:30Z</dcterms:modified>
</cp:coreProperties>
</file>

<file path=docProps/custom.xml><?xml version="1.0" encoding="utf-8"?>
<Properties xmlns="http://schemas.openxmlformats.org/officeDocument/2006/custom-properties" xmlns:vt="http://schemas.openxmlformats.org/officeDocument/2006/docPropsVTypes"/>
</file>