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xlonmlujjd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xlonmlujjd</w:t>
      </w:r>
    </w:p>
    <w:p>
      <w:pPr>
        <w:pStyle w:val="BodyText"/>
      </w:pPr>
      <w:r>
        <w:t xml:space="preserve">Company: tokgrfemzf</w:t>
      </w:r>
    </w:p>
    <w:p>
      <w:pPr>
        <w:pStyle w:val="BodyText"/>
      </w:pPr>
      <w:r>
        <w:t xml:space="preserve">Protocol Data (Accounting Standard): GHG Protocol</w:t>
      </w:r>
    </w:p>
    <w:p>
      <w:pPr>
        <w:pStyle w:val="BodyText"/>
      </w:pPr>
      <w:r>
        <w:t xml:space="preserve">Senior Sustainability Consultant: euqfteshrs</w:t>
      </w:r>
    </w:p>
    <w:p>
      <w:pPr>
        <w:pStyle w:val="BodyText"/>
      </w:pPr>
      <w:r>
        <w:t xml:space="preserve">This report is generated based on available data and industry standards. While efforts have been made to ensure accuracy, the results are subject to the limitations of the input data and assumptions made during the analysis.</w:t>
      </w:r>
    </w:p>
    <w:bookmarkEnd w:id="20"/>
    <w:bookmarkStart w:id="36"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euqfteshrs</w:t>
      </w:r>
    </w:p>
    <w:p>
      <w:pPr>
        <w:pStyle w:val="BodyText"/>
      </w:pPr>
      <w:r>
        <w:rPr>
          <w:bCs/>
          <w:b/>
        </w:rPr>
        <w:t xml:space="preserve">Company:</w:t>
      </w:r>
      <w:r>
        <w:t xml:space="preserve"> </w:t>
      </w:r>
      <w:r>
        <w:t xml:space="preserve">tokgrfemzf</w:t>
      </w:r>
    </w:p>
    <w:p>
      <w:pPr>
        <w:pStyle w:val="BodyText"/>
      </w:pPr>
      <w:r>
        <w:rPr>
          <w:bCs/>
          <w:b/>
        </w:rPr>
        <w:t xml:space="preserve">Product:</w:t>
      </w:r>
      <w:r>
        <w:t xml:space="preserve"> </w:t>
      </w:r>
      <w:r>
        <w:t xml:space="preserve">xlonmlujjd</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xlonmlujjd, manufactured by tokgrfemzf. The analysis, conducted by euqfteshrs, Senior Sustainability Consultant, adheres to the Greenhouse Gas (GHG) Protocol standards, including the 2026 Land Sector and Removals (LSR) update. The primary objective is to quantify the greenhouse gas emissions associated with the product\'s lifecycle, identify emission hotspots, and provide insights for decarbonization efforts. The assessment covers a "factory-gate" system boundary with a supply chain focus on Europe and final production in China, incorporating detailed Bill of Materials (BOM), manufacturing energy, transportation logistics, use-phase consumption, and end-of-life scenarios.</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The scope of this Product Carbon Footprint (PCF) analysis for xlonmlujjd is defined in accordance with the GHG Protocol Product Standard.</w:t>
      </w:r>
    </w:p>
    <w:p>
      <w:pPr>
        <w:numPr>
          <w:ilvl w:val="0"/>
          <w:numId w:val="1001"/>
        </w:numPr>
        <w:pStyle w:val="Compact"/>
      </w:pPr>
      <w:r>
        <w:rPr>
          <w:bCs/>
          <w:b/>
        </w:rPr>
        <w:t xml:space="preserve">Functional Unit:</w:t>
      </w:r>
      <w:r>
        <w:t xml:space="preserve"> </w:t>
      </w:r>
      <w:r>
        <w:t xml:space="preserve">1.0 unit of xlonmlujjd.</w:t>
      </w:r>
    </w:p>
    <w:p>
      <w:pPr>
        <w:numPr>
          <w:ilvl w:val="0"/>
          <w:numId w:val="1001"/>
        </w:numPr>
        <w:pStyle w:val="Compact"/>
      </w:pPr>
      <w:r>
        <w:rPr>
          <w:bCs/>
          <w:b/>
        </w:rPr>
        <w:t xml:space="preserve">System Boundary:</w:t>
      </w:r>
      <w:r>
        <w:t xml:space="preserve"> </w:t>
      </w:r>
      <w:r>
        <w:t xml:space="preserve">factory_gate. This boundary includes raw material acquisition, manufacturing, and transportation to the factory gate. Upstream and downstream emissions beyond this are considered as Scope 3, covering transportation to the customer, use-phase, and end-of-life.</w:t>
      </w:r>
    </w:p>
    <w:p>
      <w:pPr>
        <w:numPr>
          <w:ilvl w:val="0"/>
          <w:numId w:val="1001"/>
        </w:numPr>
        <w:pStyle w:val="Compact"/>
      </w:pPr>
      <w:r>
        <w:rPr>
          <w:bCs/>
          <w:b/>
        </w:rPr>
        <w:t xml:space="preserve">Geographic Scope:</w:t>
      </w:r>
      <w:r>
        <w:t xml:space="preserve"> </w:t>
      </w:r>
      <w:r>
        <w:t xml:space="preserve">Final production country is China, with a primary supply chain focus on Europe.</w:t>
      </w:r>
    </w:p>
    <w:p>
      <w:pPr>
        <w:numPr>
          <w:ilvl w:val="0"/>
          <w:numId w:val="1001"/>
        </w:numPr>
        <w:pStyle w:val="Compact"/>
      </w:pPr>
      <w:r>
        <w:rPr>
          <w:bCs/>
          <w:b/>
        </w:rPr>
        <w:t xml:space="preserve">Allocation:</w:t>
      </w:r>
      <w:r>
        <w:t xml:space="preserve"> </w:t>
      </w:r>
      <w:r>
        <w:t xml:space="preserve">Environmental impacts are allocated to the functional unit based on mass and economic allocation principles, as per GHG Protocol guidelines, ensuring no double-counting of emissions.</w:t>
      </w:r>
    </w:p>
    <w:p>
      <w:pPr>
        <w:numPr>
          <w:ilvl w:val="0"/>
          <w:numId w:val="1001"/>
        </w:numPr>
        <w:pStyle w:val="Compact"/>
      </w:pPr>
      <w:r>
        <w:rPr>
          <w:bCs/>
          <w:b/>
        </w:rPr>
        <w:t xml:space="preserve">Accounting Standard:</w:t>
      </w:r>
      <w:r>
        <w:t xml:space="preserve"> </w:t>
      </w:r>
      <w:r>
        <w:t xml:space="preserve">GHG Protocol. This report strictly adheres to the GHG Protocol\'s methodologies for quantifying and reporting greenhouse gas emissions, categorizing them into Scope 1, Scope 2, and Scope 3 emissions.</w:t>
      </w:r>
    </w:p>
    <w:p>
      <w:r>
        <w:pict>
          <v:rect style="width:0;height:1.5pt" o:hralign="center" o:hrstd="t" o:hr="t"/>
        </w:pict>
      </w:r>
    </w:p>
    <w:bookmarkEnd w:id="22"/>
    <w:bookmarkStart w:id="28" w:name="X2bf58de29a7a901ba932b9a6a779f7f86e80a1b"/>
    <w:p>
      <w:pPr>
        <w:pStyle w:val="Heading2"/>
      </w:pPr>
      <w:r>
        <w:t xml:space="preserve">2. &amp; 3. Lifecycle Mapping and Data Collection (LCI Inventory)</w:t>
      </w:r>
    </w:p>
    <w:p>
      <w:pPr>
        <w:pStyle w:val="FirstParagraph"/>
      </w:pPr>
      <w:r>
        <w:t xml:space="preserve">This section details the lifecycle stages considered and the data points collected for the PCF analysis of xlonmlujjd. Given that the parameter `xntpxsjn` was provided as a placeholder string, illustrative BOM data adhering to the specified format has been simulated to demonstrate the calculation methodology.</w:t>
      </w:r>
    </w:p>
    <w:bookmarkStart w:id="23" w:name="X982c326fb93613d4d5b2ea0769a7e370cfc78fa"/>
    <w:p>
      <w:pPr>
        <w:pStyle w:val="Heading3"/>
      </w:pPr>
      <w:r>
        <w:t xml:space="preserve">Detailed Bill of Materials (BOM) &amp; Material Inputs</w:t>
      </w:r>
    </w:p>
    <w:p>
      <w:pPr>
        <w:pStyle w:val="FirstParagraph"/>
      </w:pPr>
      <w:r>
        <w:t xml:space="preserve">The material composition of xlonmlujjd is a significant contributor to its overall carbon footprint. The following table presents an illustrative Bill of Materials (BOM) based on the specified format (ID, Description, Category, Process, Qty, Unit, Emission Factor, Total Carbon). For the purpose of this report, the \'Total Carbon\' value provided in the BOM for each item is directly used to determine the material-specific emissions.</w:t>
      </w:r>
    </w:p>
    <w:p>
      <w:pPr>
        <w:pStyle w:val="BodyText"/>
      </w:pPr>
      <w:r>
        <w:rPr>
          <w:iCs/>
          <w:i/>
        </w:rPr>
        <w:t xml:space="preserve">Note: The actual parameter value for \'Detailed Bill of Materials (BOM)\' was \'xntpxsjn\'. For demonstrative calculations, the following illustrative data, conforming to the specified format, has been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w:t>
            </w:r>
          </w:p>
        </w:tc>
      </w:tr>
    </w:tbl>
    <w:p>
      <w:pPr>
        <w:pStyle w:val="BodyText"/>
      </w:pPr>
      <w:r>
        <w:rPr>
          <w:bCs/>
          <w:b/>
        </w:rPr>
        <w:t xml:space="preserve">Total Material Emissions (from BOM):</w:t>
      </w:r>
      <w:r>
        <w:t xml:space="preserve"> </w:t>
      </w:r>
      <w:r>
        <w:t xml:space="preserve">3.0 + 0.66 + 0.35 + 0.75 + 2.0 = 6.76 kg CO2e.</w:t>
      </w:r>
    </w:p>
    <w:p>
      <w:pPr>
        <w:pStyle w:val="BodyText"/>
      </w:pPr>
      <w:r>
        <w:rPr>
          <w:iCs/>
          <w:i/>
        </w:rPr>
        <w:t xml:space="preserve">Illustrative Emission Factors (from industry standards and general knowledge, assuming 1 unit of PCB is 1 square meter and 1 unit of battery for its weight):</w:t>
      </w:r>
    </w:p>
    <w:p>
      <w:pPr>
        <w:numPr>
          <w:ilvl w:val="0"/>
          <w:numId w:val="1002"/>
        </w:numPr>
        <w:pStyle w:val="Compact"/>
      </w:pPr>
      <w:r>
        <w:t xml:space="preserve">Aluminum Casting: Typical emission factors for primary aluminum can range from 4.5 to over 20 t CO2e/t Al, with secondary (recycled) aluminum being significantly lower. For cast aluminum, processes like casting also contribute. The illustrative 6.0 kg CO2e/kg is a plausible mid-range value considering some primary content and processing.</w:t>
      </w:r>
    </w:p>
    <w:p>
      <w:pPr>
        <w:numPr>
          <w:ilvl w:val="0"/>
          <w:numId w:val="1002"/>
        </w:numPr>
        <w:pStyle w:val="Compact"/>
      </w:pPr>
      <w:r>
        <w:t xml:space="preserve">Plastic Injection Molding: Varies significantly by plastic type. A common factor can be around 1.5-3 kg CO2e/kg. The illustrative 2.2 kg CO2e/kg is reasonable.</w:t>
      </w:r>
    </w:p>
    <w:p>
      <w:pPr>
        <w:numPr>
          <w:ilvl w:val="0"/>
          <w:numId w:val="1002"/>
        </w:numPr>
        <w:pStyle w:val="Compact"/>
      </w:pPr>
      <w:r>
        <w:t xml:space="preserve">Copper Wire: Global average CO2 emissions for copper manufacturing exceed 4.5 kg CO2e/kg, with low-carbon sources being significantly less. The illustrative 3.5 kg CO2e/kg is within a plausible range for copper wire production.</w:t>
      </w:r>
    </w:p>
    <w:p>
      <w:pPr>
        <w:numPr>
          <w:ilvl w:val="0"/>
          <w:numId w:val="1002"/>
        </w:numPr>
        <w:pStyle w:val="Compact"/>
      </w:pPr>
      <w:r>
        <w:t xml:space="preserve">Circuit Board (PCB) Manufacturing: Production of a single square meter of PCB can emit around 60-70 kg CO2e. The illustrative 15.0 kg CO2e/unit (assuming unit might be per board or per kg, here assumed per small board with significant impact) is chosen to reflect typical values after scaling. Other sources suggest 58.36 kg CO2e per kg for HDI PCB.</w:t>
      </w:r>
    </w:p>
    <w:p>
      <w:pPr>
        <w:numPr>
          <w:ilvl w:val="0"/>
          <w:numId w:val="1002"/>
        </w:numPr>
        <w:pStyle w:val="Compact"/>
      </w:pPr>
      <w:r>
        <w:t xml:space="preserve">Lithium-Ion Battery Manufacturing: The carbon footprint of Li-ion battery production can range from 50 to 200 kg CO2e/kWh, with about 80% due to upstream materials. A factor like 25.0 kg CO2e/kg for a finished battery component is illustrative given the energy-intensive processes.</w:t>
      </w:r>
    </w:p>
    <w:bookmarkEnd w:id="23"/>
    <w:bookmarkStart w:id="24" w:name="manufacturing-energy-inputs-scope-2"/>
    <w:p>
      <w:pPr>
        <w:pStyle w:val="Heading3"/>
      </w:pPr>
      <w:r>
        <w:t xml:space="preserve">Manufacturing Energy Inputs (Scope 2)</w:t>
      </w:r>
    </w:p>
    <w:p>
      <w:pPr>
        <w:pStyle w:val="FirstParagraph"/>
      </w:pPr>
      <w:r>
        <w:t xml:space="preserve">The production phase of xlonmlujjd takes place in China.</w:t>
      </w:r>
    </w:p>
    <w:p>
      <w:pPr>
        <w:numPr>
          <w:ilvl w:val="0"/>
          <w:numId w:val="1003"/>
        </w:numPr>
        <w:pStyle w:val="Compact"/>
      </w:pPr>
      <w:r>
        <w:rPr>
          <w:bCs/>
          <w:b/>
        </w:rPr>
        <w:t xml:space="preserve">Energy Intensity (kWh/unit):</w:t>
      </w:r>
      <w:r>
        <w:t xml:space="preserve"> </w:t>
      </w:r>
      <w:r>
        <w:t xml:space="preserve">lxpiwudmsj (assumed 15 kWh/unit for calculation).</w:t>
      </w:r>
    </w:p>
    <w:p>
      <w:pPr>
        <w:numPr>
          <w:ilvl w:val="0"/>
          <w:numId w:val="1003"/>
        </w:numPr>
        <w:pStyle w:val="Compact"/>
      </w:pPr>
      <w:r>
        <w:rPr>
          <w:bCs/>
          <w:b/>
        </w:rPr>
        <w:t xml:space="preserve">Renewable Energy Usage:</w:t>
      </w:r>
      <w:r>
        <w:t xml:space="preserve"> </w:t>
      </w:r>
      <w:r>
        <w:t xml:space="preserve">pmltjlrjnd (assumed 30% for calculation).</w:t>
      </w:r>
    </w:p>
    <w:p>
      <w:pPr>
        <w:pStyle w:val="FirstParagraph"/>
      </w:pPr>
      <w:r>
        <w:t xml:space="preserve">China\'s electricity grid mix has a significant carbon intensity. In 2022, provincial grid carbon footprint factors in China ranged, with some exceeding 1.0 kg CO2e/kWh. The predicted carbon emission factors for China\'s electric power in 2025 and 2030 are 0.6144 tCO2e/MWh (0.6144 kg CO2e/kWh) and 0.5154 tCO2e/MWh (0.5154 kg CO2e/kWh) respectively. In 2025, clean sources generated 42% of China\'s electricity, with fossil fuels providing 58%. We will use an illustrative baseline grid emission factor of 0.65 kg CO2e/kWh for China, consistent with recent data and predictions.</w:t>
      </w:r>
    </w:p>
    <w:p>
      <w:pPr>
        <w:pStyle w:val="BodyText"/>
      </w:pPr>
      <w:r>
        <w:t xml:space="preserve">Effective Emission Factor (China): 0.65 kg CO2e/kWh * (1 - 0.30) = 0.455 kg CO2e/kWh.</w:t>
      </w:r>
    </w:p>
    <w:p>
      <w:pPr>
        <w:pStyle w:val="BodyText"/>
      </w:pPr>
      <w:r>
        <w:rPr>
          <w:bCs/>
          <w:b/>
        </w:rPr>
        <w:t xml:space="preserve">Manufacturing Energy Emissions:</w:t>
      </w:r>
      <w:r>
        <w:t xml:space="preserve"> </w:t>
      </w:r>
      <w:r>
        <w:t xml:space="preserve">(15 kWh/unit) * (0.455 kg CO2e/kWh) = 6.825 kg CO2e.</w:t>
      </w:r>
    </w:p>
    <w:bookmarkEnd w:id="24"/>
    <w:bookmarkStart w:id="25" w:name="X6c1d0dd444a5ae78da69081d86d88d6b735ce7c"/>
    <w:p>
      <w:pPr>
        <w:pStyle w:val="Heading3"/>
      </w:pPr>
      <w:r>
        <w:t xml:space="preserve">Transportation Logistics (Scope 3 - Upstream &amp; Downstream)</w:t>
      </w:r>
    </w:p>
    <w:p>
      <w:pPr>
        <w:numPr>
          <w:ilvl w:val="0"/>
          <w:numId w:val="1004"/>
        </w:numPr>
        <w:pStyle w:val="Compact"/>
      </w:pPr>
      <w:r>
        <w:rPr>
          <w:bCs/>
          <w:b/>
        </w:rPr>
        <w:t xml:space="preserve">Transport Mode:</w:t>
      </w:r>
      <w:r>
        <w:t xml:space="preserve"> </w:t>
      </w:r>
      <w:r>
        <w:t xml:space="preserve">Select Mode (assumed Road for upstream to factory, and a mix for downstream).</w:t>
      </w:r>
    </w:p>
    <w:p>
      <w:pPr>
        <w:numPr>
          <w:ilvl w:val="0"/>
          <w:numId w:val="1004"/>
        </w:numPr>
        <w:pStyle w:val="Compact"/>
      </w:pPr>
      <w:r>
        <w:rPr>
          <w:bCs/>
          <w:b/>
        </w:rPr>
        <w:t xml:space="preserve">Transport Distance:</w:t>
      </w:r>
      <w:r>
        <w:t xml:space="preserve"> </w:t>
      </w:r>
      <w:r>
        <w:t xml:space="preserve">zffjkzmvzk (assumed 5000 km for primary transport from Europe to China, and 500 km for local distribution).</w:t>
      </w:r>
    </w:p>
    <w:p>
      <w:pPr>
        <w:numPr>
          <w:ilvl w:val="0"/>
          <w:numId w:val="1004"/>
        </w:numPr>
        <w:pStyle w:val="Compact"/>
      </w:pPr>
      <w:r>
        <w:rPr>
          <w:bCs/>
          <w:b/>
        </w:rPr>
        <w:t xml:space="preserve">Last-Mile Delivery Channel:</w:t>
      </w:r>
      <w:r>
        <w:t xml:space="preserve"> </w:t>
      </w:r>
      <w:r>
        <w:t xml:space="preserve">Delivery Type (assumed Road/Van for calculation).</w:t>
      </w:r>
    </w:p>
    <w:p>
      <w:pPr>
        <w:pStyle w:val="FirstParagraph"/>
      </w:pPr>
      <w:r>
        <w:t xml:space="preserve">We will assume the following illustrative emission factors for transportation:</w:t>
      </w:r>
    </w:p>
    <w:p>
      <w:pPr>
        <w:numPr>
          <w:ilvl w:val="0"/>
          <w:numId w:val="1005"/>
        </w:numPr>
        <w:pStyle w:val="Compact"/>
      </w:pPr>
      <w:r>
        <w:t xml:space="preserve">Ocean Freight (Bulk from Europe to China - illustrative for material transport): 0.016 kg CO2e/tonne-km.</w:t>
      </w:r>
    </w:p>
    <w:p>
      <w:pPr>
        <w:numPr>
          <w:ilvl w:val="0"/>
          <w:numId w:val="1005"/>
        </w:numPr>
        <w:pStyle w:val="Compact"/>
      </w:pPr>
      <w:r>
        <w:t xml:space="preserve">Road Freight (Local distribution in China and Last-Mile Delivery): 0.1 kg CO2e/tonne-km for general truck transport.</w:t>
      </w:r>
    </w:p>
    <w:p>
      <w:pPr>
        <w:pStyle w:val="FirstParagraph"/>
      </w:pPr>
      <w:r>
        <w:t xml:space="preserve">Assuming the product (xlonmlujjd) and its components have an average weight of 1.0 kg.</w:t>
      </w:r>
    </w:p>
    <w:p>
      <w:pPr>
        <w:pStyle w:val="BodyText"/>
      </w:pPr>
      <w:r>
        <w:rPr>
          <w:bCs/>
          <w:b/>
        </w:rPr>
        <w:t xml:space="preserve">Upstream Transport (Europe to China, 5000 km, assuming ocean freight for main components):</w:t>
      </w:r>
      <w:r>
        <w:t xml:space="preserve"> </w:t>
      </w:r>
      <w:r>
        <w:t xml:space="preserve">(1.0 kg / 1000 kg/tonne) * 5000 km * 0.016 kg CO2e/tonne-km = 0.08 kg CO2e.</w:t>
      </w:r>
    </w:p>
    <w:p>
      <w:pPr>
        <w:pStyle w:val="BodyText"/>
      </w:pPr>
      <w:r>
        <w:rPr>
          <w:bCs/>
          <w:b/>
        </w:rPr>
        <w:t xml:space="preserve">Downstream Transport (Factory to Customer, 500 km, assuming road freight, including last-mile):</w:t>
      </w:r>
      <w:r>
        <w:t xml:space="preserve"> </w:t>
      </w:r>
      <w:r>
        <w:t xml:space="preserve">(1.0 kg / 1000 kg/tonne) * 500 km * 0.1 kg CO2e/tonne-km = 0.05 kg CO2e.</w:t>
      </w:r>
    </w:p>
    <w:p>
      <w:pPr>
        <w:pStyle w:val="BodyText"/>
      </w:pPr>
      <w:r>
        <w:rPr>
          <w:bCs/>
          <w:b/>
        </w:rPr>
        <w:t xml:space="preserve">Total Transportation Emissions:</w:t>
      </w:r>
      <w:r>
        <w:t xml:space="preserve"> </w:t>
      </w:r>
      <w:r>
        <w:t xml:space="preserve">0.08 + 0.05 = 0.13 kg CO2e.</w:t>
      </w:r>
    </w:p>
    <w:bookmarkEnd w:id="25"/>
    <w:bookmarkStart w:id="26" w:name="use-phase-data-scope-3---downstream"/>
    <w:p>
      <w:pPr>
        <w:pStyle w:val="Heading3"/>
      </w:pPr>
      <w:r>
        <w:t xml:space="preserve">Use Phase Data (Scope 3 - Downstream)</w:t>
      </w:r>
    </w:p>
    <w:p>
      <w:pPr>
        <w:numPr>
          <w:ilvl w:val="0"/>
          <w:numId w:val="1006"/>
        </w:numPr>
        <w:pStyle w:val="Compact"/>
      </w:pPr>
      <w:r>
        <w:rPr>
          <w:bCs/>
          <w:b/>
        </w:rPr>
        <w:t xml:space="preserve">Product Lifespan:</w:t>
      </w:r>
      <w:r>
        <w:t xml:space="preserve"> </w:t>
      </w:r>
      <w:r>
        <w:t xml:space="preserve">thnkurvsws (assumed 5 years).</w:t>
      </w:r>
    </w:p>
    <w:p>
      <w:pPr>
        <w:numPr>
          <w:ilvl w:val="0"/>
          <w:numId w:val="1006"/>
        </w:numPr>
        <w:pStyle w:val="Compact"/>
      </w:pPr>
      <w:r>
        <w:rPr>
          <w:bCs/>
          <w:b/>
        </w:rPr>
        <w:t xml:space="preserve">Energy Consumption in Use:</w:t>
      </w:r>
      <w:r>
        <w:t xml:space="preserve"> </w:t>
      </w:r>
      <w:r>
        <w:t xml:space="preserve">nmnxnnhekz (assumed 20 kWh/year).</w:t>
      </w:r>
    </w:p>
    <w:p>
      <w:pPr>
        <w:pStyle w:val="FirstParagraph"/>
      </w:pPr>
      <w:r>
        <w:t xml:space="preserve">Assuming the user-phase electricity is sourced from the average European grid mix (illustrative 0.25 kg CO2e/kWh).</w:t>
      </w:r>
    </w:p>
    <w:p>
      <w:pPr>
        <w:pStyle w:val="BodyText"/>
      </w:pPr>
      <w:r>
        <w:rPr>
          <w:bCs/>
          <w:b/>
        </w:rPr>
        <w:t xml:space="preserve">Use Phase Emissions:</w:t>
      </w:r>
      <w:r>
        <w:t xml:space="preserve"> </w:t>
      </w:r>
      <w:r>
        <w:t xml:space="preserve">(20 kWh/year * 5 years) * 0.25 kg CO2e/kWh = 25.0 kg CO2e.</w:t>
      </w:r>
    </w:p>
    <w:bookmarkEnd w:id="26"/>
    <w:bookmarkStart w:id="27" w:name="X2449e76f36fce2c9fec3c701a472f020b80894d"/>
    <w:p>
      <w:pPr>
        <w:pStyle w:val="Heading3"/>
      </w:pPr>
      <w:r>
        <w:t xml:space="preserve">End-of-Life (EoL) Scenarios (Scope 3 - Downstream)</w:t>
      </w:r>
    </w:p>
    <w:p>
      <w:pPr>
        <w:numPr>
          <w:ilvl w:val="0"/>
          <w:numId w:val="1007"/>
        </w:numPr>
        <w:pStyle w:val="Compact"/>
      </w:pPr>
      <w:r>
        <w:rPr>
          <w:bCs/>
          <w:b/>
        </w:rPr>
        <w:t xml:space="preserve">Recyclability Percentage:</w:t>
      </w:r>
      <w:r>
        <w:t xml:space="preserve"> </w:t>
      </w:r>
      <w:r>
        <w:t xml:space="preserve">whruhpmopk (assumed 60%).</w:t>
      </w:r>
    </w:p>
    <w:p>
      <w:pPr>
        <w:numPr>
          <w:ilvl w:val="0"/>
          <w:numId w:val="1007"/>
        </w:numPr>
        <w:pStyle w:val="Compact"/>
      </w:pPr>
      <w:r>
        <w:rPr>
          <w:bCs/>
          <w:b/>
        </w:rPr>
        <w:t xml:space="preserve">Circular/Take-back Programs:</w:t>
      </w:r>
      <w:r>
        <w:t xml:space="preserve"> </w:t>
      </w:r>
      <w:r>
        <w:t xml:space="preserve">yfwlsjxwvz (e.g., "Company offers a take-back program for product recycling").</w:t>
      </w:r>
    </w:p>
    <w:p>
      <w:pPr>
        <w:pStyle w:val="FirstParagraph"/>
      </w:pPr>
      <w:r>
        <w:t xml:space="preserve">The recyclability percentage and circular programs can lead to avoided emissions. For a 60% recyclability, we estimate a credit for avoided primary production emissions. The exact credit depends on the material composition and specific recycling processes. For simplicity, we assume an illustrative 50% credit on the initial material emissions for the recyclable portion.</w:t>
      </w:r>
    </w:p>
    <w:p>
      <w:pPr>
        <w:pStyle w:val="BodyText"/>
      </w:pPr>
      <w:r>
        <w:rPr>
          <w:bCs/>
          <w:b/>
        </w:rPr>
        <w:t xml:space="preserve">Potential Avoided EoL Emissions:</w:t>
      </w:r>
      <w:r>
        <w:t xml:space="preserve"> </w:t>
      </w:r>
      <w:r>
        <w:t xml:space="preserve">6.76 kg CO2e (Material Emissions) * 0.60 (Recyclability) * 0.50 (Credit Factor) = -2.028 kg CO2e.</w:t>
      </w:r>
    </w:p>
    <w:p>
      <w:pPr>
        <w:pStyle w:val="BodyText"/>
      </w:pPr>
      <w:r>
        <w:t xml:space="preserve">The existence of "yfwlsjxwvz" (e.g., take-back programs) enhances the likelihood of achieving the stated recyclability rates and reduces the chance of materials ending in landfills, further contributing to circularity and avoided emissions.</w:t>
      </w:r>
    </w:p>
    <w:p>
      <w:r>
        <w:pict>
          <v:rect style="width:0;height:1.5pt" o:hralign="center" o:hrstd="t" o:hr="t"/>
        </w:pict>
      </w:r>
    </w:p>
    <w:bookmarkEnd w:id="27"/>
    <w:bookmarkEnd w:id="28"/>
    <w:bookmarkStart w:id="32" w:name="X2c62247db19834934c44c209ad423fe06ba5c64"/>
    <w:p>
      <w:pPr>
        <w:pStyle w:val="Heading2"/>
      </w:pPr>
      <w:r>
        <w:t xml:space="preserve">4. Calculation of Emissions (Activity * Emission Factor = CO2e)</w:t>
      </w:r>
    </w:p>
    <w:p>
      <w:pPr>
        <w:pStyle w:val="FirstParagraph"/>
      </w:pPr>
      <w:r>
        <w:t xml:space="preserve">Emissions are categorized according to the GHG Protocol into Scope 1, Scope 2, and Scope 3.</w:t>
      </w:r>
    </w:p>
    <w:p>
      <w:pPr>
        <w:numPr>
          <w:ilvl w:val="0"/>
          <w:numId w:val="1008"/>
        </w:numPr>
        <w:pStyle w:val="Compact"/>
      </w:pPr>
      <w:r>
        <w:rPr>
          <w:bCs/>
          <w:b/>
        </w:rPr>
        <w:t xml:space="preserve">Scope 1: Direct GHG Emissions.</w:t>
      </w:r>
      <w:r>
        <w:t xml:space="preserve"> </w:t>
      </w:r>
      <w:r>
        <w:t xml:space="preserve">These are emissions from sources owned or controlled by tokgrfemzf. For a \'factory_gate\' system boundary and a product PCF, direct emissions are usually minimal unless on-site fuel combustion or process emissions are significant. In this analysis, no direct Scope 1 emissions for xlonmlujjd\'s production are explicitly derived from the provided parameters, hence assumed negligible for this specific PCF at the factory gate.</w:t>
      </w:r>
    </w:p>
    <w:p>
      <w:pPr>
        <w:numPr>
          <w:ilvl w:val="0"/>
          <w:numId w:val="1008"/>
        </w:numPr>
        <w:pStyle w:val="Compact"/>
      </w:pPr>
      <w:r>
        <w:rPr>
          <w:bCs/>
          <w:b/>
        </w:rPr>
        <w:t xml:space="preserve">Scope 2: Indirect GHG Emissions from Purchased Energy.</w:t>
      </w:r>
      <w:r>
        <w:t xml:space="preserve"> </w:t>
      </w:r>
      <w:r>
        <w:t xml:space="preserve">These are emissions from the generation of purchased electricity consumed by tokgrfemzf in the manufacturing of xlonmlujjd.</w:t>
      </w:r>
    </w:p>
    <w:p>
      <w:pPr>
        <w:numPr>
          <w:ilvl w:val="0"/>
          <w:numId w:val="1008"/>
        </w:numPr>
        <w:pStyle w:val="Compact"/>
      </w:pPr>
      <w:r>
        <w:rPr>
          <w:bCs/>
          <w:b/>
        </w:rPr>
        <w:t xml:space="preserve">Scope 3: Other Indirect GHG Emissions.</w:t>
      </w:r>
      <w:r>
        <w:t xml:space="preserve"> </w:t>
      </w:r>
      <w:r>
        <w:t xml:space="preserve">These are all other indirect emissions occurring in the value chain of tokgrfemzf, both upstream and downstream. This includes raw material extraction, upstream and downstream transportation, the use phase of the product, and its end-of-life treatment. The aim is for at least 95% coverage for Scope 3 reporting, as per 2026 requirements. Our analysis covers significant Scope 3 categories: purchased goods &amp; services (materials), upstream &amp; downstream transportation, use of sold products, and end-of-life treatment of sold products, ensuring comprehensive coverage.</w:t>
      </w:r>
    </w:p>
    <w:bookmarkStart w:id="29" w:name="X89712ad2f96f1545c787068fc4ef6a440b6ce2b"/>
    <w:p>
      <w:pPr>
        <w:pStyle w:val="Heading3"/>
      </w:pPr>
      <w:r>
        <w:t xml:space="preserve">Summary of Calculated Emissions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 Category</w:t>
            </w:r>
          </w:p>
        </w:tc>
        <w:tc>
          <w:tcPr/>
          <w:p>
            <w:pPr>
              <w:pStyle w:val="Compact"/>
              <w:jc w:val="left"/>
            </w:pPr>
            <w:r>
              <w:t xml:space="preserve">Estimated CO2e (kg)</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6.76</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6.825</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0.08</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0.05</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End-of-Life (Credit for Recycling)</w:t>
            </w:r>
          </w:p>
        </w:tc>
        <w:tc>
          <w:tcPr/>
          <w:p>
            <w:pPr>
              <w:pStyle w:val="Compact"/>
              <w:jc w:val="left"/>
            </w:pPr>
            <w:r>
              <w:t xml:space="preserve">Scope 3 (Downstream)</w:t>
            </w:r>
          </w:p>
        </w:tc>
        <w:tc>
          <w:tcPr/>
          <w:p>
            <w:pPr>
              <w:pStyle w:val="Compact"/>
              <w:jc w:val="left"/>
            </w:pPr>
            <w:r>
              <w:t xml:space="preserve">-2.028</w:t>
            </w:r>
          </w:p>
        </w:tc>
      </w:tr>
      <w:tr>
        <w:tc>
          <w:tcPr>
            <w:gridSpan w:val="2"/>
          </w:tcPr>
          <w:p>
            <w:pPr>
              <w:pStyle w:val="Compact"/>
              <w:jc w:val="left"/>
            </w:pPr>
            <w:r>
              <w:t xml:space="preserve">Total Product Carbon Footprint (Net)</w:t>
            </w:r>
          </w:p>
        </w:tc>
        <w:tc>
          <w:tcPr/>
          <w:p>
            <w:pPr>
              <w:pStyle w:val="Compact"/>
              <w:jc w:val="left"/>
            </w:pPr>
            <w:r>
              <w:t xml:space="preserve">31.687</w:t>
            </w:r>
          </w:p>
        </w:tc>
      </w:tr>
    </w:tbl>
    <w:bookmarkEnd w:id="29"/>
    <w:bookmarkStart w:id="30" w:name="Xba57480d6bb603a7f3fe53b076255facfac0b17"/>
    <w:p>
      <w:pPr>
        <w:pStyle w:val="Heading3"/>
      </w:pPr>
      <w:r>
        <w:t xml:space="preserve">GHG Protocol Scope Breakdown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Source</w:t>
            </w:r>
          </w:p>
        </w:tc>
        <w:tc>
          <w:tcPr/>
          <w:p>
            <w:pPr>
              <w:pStyle w:val="Compact"/>
              <w:jc w:val="left"/>
            </w:pPr>
            <w:r>
              <w:t xml:space="preserve">Estimated CO2e (kg)</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(Assumed negligible for PCF at factory_gate)</w:t>
            </w:r>
          </w:p>
        </w:tc>
        <w:tc>
          <w:tcPr/>
          <w:p>
            <w:pPr>
              <w:pStyle w:val="Compact"/>
              <w:jc w:val="left"/>
            </w:pPr>
            <w:r>
              <w:t xml:space="preserve">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6.825</w:t>
            </w:r>
          </w:p>
        </w:tc>
        <w:tc>
          <w:tcPr/>
          <w:p>
            <w:pPr>
              <w:pStyle w:val="Compact"/>
              <w:jc w:val="left"/>
            </w:pPr>
            <w:r>
              <w:t xml:space="preserve">21.54%</w:t>
            </w:r>
          </w:p>
        </w:tc>
      </w:tr>
      <w:tr>
        <w:tc>
          <w:tcPr>
            <w:vMerge w:val="restart"/>
          </w:tcPr>
          <w:p>
            <w:pPr>
              <w:pStyle w:val="Compact"/>
              <w:jc w:val="left"/>
            </w:pPr>
            <w:r>
              <w:t xml:space="preserve">Scope 3</w:t>
            </w:r>
          </w:p>
        </w:tc>
        <w:tc>
          <w:tcPr/>
          <w:p>
            <w:pPr>
              <w:pStyle w:val="Compact"/>
              <w:jc w:val="left"/>
            </w:pPr>
            <w:r>
              <w:t xml:space="preserve">Material Acquisition</w:t>
            </w:r>
          </w:p>
        </w:tc>
        <w:tc>
          <w:tcPr/>
          <w:p>
            <w:pPr>
              <w:pStyle w:val="Compact"/>
              <w:jc w:val="left"/>
            </w:pPr>
            <w:r>
              <w:t xml:space="preserve">6.76</w:t>
            </w:r>
          </w:p>
        </w:tc>
        <w:tc>
          <w:tcPr/>
          <w:p>
            <w:pPr>
              <w:pStyle w:val="Compact"/>
              <w:jc w:val="left"/>
            </w:pPr>
            <w:r>
              <w:t xml:space="preserve">21.34%</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0.13</w:t>
            </w:r>
          </w:p>
        </w:tc>
        <w:tc>
          <w:tcPr/>
          <w:p>
            <w:pPr>
              <w:pStyle w:val="Compact"/>
              <w:jc w:val="left"/>
            </w:pPr>
            <w:r>
              <w:t xml:space="preserve">0.41%</w:t>
            </w:r>
          </w:p>
        </w:tc>
      </w:tr>
      <w:tr>
        <w:tc>
          <w:tcPr>
            <w:gridSpan w:val="1"/>
            <w:vMerge w:val="continue"/>
          </w:tcPr>
          <w:p>
            <w:pPr/>
          </w:p>
        </w:tc>
        <w:tc>
          <w:tcPr/>
          <w:p>
            <w:pPr>
              <w:pStyle w:val="Compact"/>
              <w:jc w:val="left"/>
            </w:pPr>
            <w:r>
              <w:t xml:space="preserve">Product Use Phase</w:t>
            </w:r>
          </w:p>
        </w:tc>
        <w:tc>
          <w:tcPr/>
          <w:p>
            <w:pPr>
              <w:pStyle w:val="Compact"/>
              <w:jc w:val="left"/>
            </w:pPr>
            <w:r>
              <w:t xml:space="preserve">25.0</w:t>
            </w:r>
          </w:p>
        </w:tc>
        <w:tc>
          <w:tcPr/>
          <w:p>
            <w:pPr>
              <w:pStyle w:val="Compact"/>
              <w:jc w:val="left"/>
            </w:pPr>
            <w:r>
              <w:t xml:space="preserve">78.90%</w:t>
            </w:r>
          </w:p>
        </w:tc>
      </w:tr>
      <w:tr>
        <w:tc>
          <w:tcPr>
            <w:gridSpan w:val="1"/>
            <w:vMerge w:val="continue"/>
          </w:tcPr>
          <w:p>
            <w:pPr/>
          </w:p>
        </w:tc>
        <w:tc>
          <w:tcPr/>
          <w:p>
            <w:pPr>
              <w:pStyle w:val="Compact"/>
              <w:jc w:val="left"/>
            </w:pPr>
            <w:r>
              <w:t xml:space="preserve">End-of-Life (Credit)</w:t>
            </w:r>
          </w:p>
        </w:tc>
        <w:tc>
          <w:tcPr/>
          <w:p>
            <w:pPr>
              <w:pStyle w:val="Compact"/>
              <w:jc w:val="left"/>
            </w:pPr>
            <w:r>
              <w:t xml:space="preserve">-2.028</w:t>
            </w:r>
          </w:p>
        </w:tc>
        <w:tc>
          <w:tcPr/>
          <w:p>
            <w:pPr>
              <w:pStyle w:val="Compact"/>
              <w:jc w:val="left"/>
            </w:pPr>
            <w:r>
              <w:t xml:space="preserve">-6.39%</w:t>
            </w:r>
          </w:p>
        </w:tc>
      </w:tr>
      <w:tr>
        <w:tc>
          <w:tcPr>
            <w:gridSpan w:val="2"/>
          </w:tcPr>
          <w:p>
            <w:pPr>
              <w:pStyle w:val="Compact"/>
              <w:jc w:val="left"/>
            </w:pPr>
            <w:r>
              <w:t xml:space="preserve">Total Net Emissions</w:t>
            </w:r>
          </w:p>
        </w:tc>
        <w:tc>
          <w:tcPr/>
          <w:p>
            <w:pPr>
              <w:pStyle w:val="Compact"/>
              <w:jc w:val="left"/>
            </w:pPr>
            <w:r>
              <w:t xml:space="preserve">31.687</w:t>
            </w:r>
          </w:p>
        </w:tc>
        <w:tc>
          <w:tcPr/>
          <w:p>
            <w:pPr>
              <w:pStyle w:val="Compact"/>
              <w:jc w:val="left"/>
            </w:pPr>
            <w:r>
              <w:t xml:space="preserve">100.00%</w:t>
            </w:r>
          </w:p>
        </w:tc>
      </w:tr>
    </w:tbl>
    <w:bookmarkEnd w:id="30"/>
    <w:bookmarkStart w:id="31" w:name="X504f4a86e01fdcfa46a4589bb1b5e0cfaad8629"/>
    <w:p>
      <w:pPr>
        <w:pStyle w:val="Heading3"/>
      </w:pPr>
      <w:r>
        <w:t xml:space="preserve">2026 Land Sector and Removals (LSR) Standard Update</w:t>
      </w:r>
    </w:p>
    <w:p>
      <w:pPr>
        <w:pStyle w:val="FirstParagraph"/>
      </w:pPr>
      <w:r>
        <w:t xml:space="preserve">The GHG Protocol\'s Land Sector and Removals (LSR) Standard, published on January 30, 2026, provides accounting requirements and guidance for land emissions and CO2 removals. While specific land-use data for xlonmlujjd\'s supply chain was not provided, this analysis acknowledges the importance of the LSR Standard. For companies with significant land sector activities (e.g., agriculture, forestry) in their operations or value chain, or those reporting CO2 removals, the LSR Standard will be critical. Its effective date is January 1, 2027. In future, detailed primary data on land management practices and potential biogenic carbon removals within the supply chain would be integrated to fully comply with this standard.</w:t>
      </w:r>
    </w:p>
    <w:p>
      <w:r>
        <w:pict>
          <v:rect style="width:0;height:1.5pt" o:hralign="center" o:hrstd="t" o:hr="t"/>
        </w:pict>
      </w:r>
    </w:p>
    <w:bookmarkEnd w:id="31"/>
    <w:bookmarkEnd w:id="32"/>
    <w:bookmarkStart w:id="35" w:name="review-report"/>
    <w:p>
      <w:pPr>
        <w:pStyle w:val="Heading2"/>
      </w:pPr>
      <w:r>
        <w:t xml:space="preserve">5. Review &amp; Report</w:t>
      </w:r>
    </w:p>
    <w:bookmarkStart w:id="33" w:name="emission-hotspots"/>
    <w:p>
      <w:pPr>
        <w:pStyle w:val="Heading3"/>
      </w:pPr>
      <w:r>
        <w:t xml:space="preserve">Emission Hotspots</w:t>
      </w:r>
    </w:p>
    <w:p>
      <w:pPr>
        <w:pStyle w:val="FirstParagraph"/>
      </w:pPr>
      <w:r>
        <w:t xml:space="preserve">Based on this illustrative PCF analysis for xlonmlujjd, the primary emission hotspots are:</w:t>
      </w:r>
    </w:p>
    <w:p>
      <w:pPr>
        <w:numPr>
          <w:ilvl w:val="0"/>
          <w:numId w:val="1009"/>
        </w:numPr>
        <w:pStyle w:val="Compact"/>
      </w:pPr>
      <w:r>
        <w:rPr>
          <w:bCs/>
          <w:b/>
        </w:rPr>
        <w:t xml:space="preserve">Product Use Phase (78.90%):</w:t>
      </w:r>
      <w:r>
        <w:t xml:space="preserve"> </w:t>
      </w:r>
      <w:r>
        <w:t xml:space="preserve">The most significant contributor to the carbon footprint is the energy consumption during the product\'s lifespan. This highlights the importance of energy efficiency in product design and the energy mix used by end-users.</w:t>
      </w:r>
    </w:p>
    <w:p>
      <w:pPr>
        <w:numPr>
          <w:ilvl w:val="0"/>
          <w:numId w:val="1009"/>
        </w:numPr>
        <w:pStyle w:val="Compact"/>
      </w:pPr>
      <w:r>
        <w:rPr>
          <w:bCs/>
          <w:b/>
        </w:rPr>
        <w:t xml:space="preserve">Manufacturing (Energy) (21.54%):</w:t>
      </w:r>
      <w:r>
        <w:t xml:space="preserve"> </w:t>
      </w:r>
      <w:r>
        <w:t xml:space="preserve">Purchased electricity for the manufacturing process in China is a substantial hotspot. Increasing renewable energy usage beyond the assumed 30% or shifting to regions with cleaner grids would significantly reduce this impact.</w:t>
      </w:r>
    </w:p>
    <w:p>
      <w:pPr>
        <w:numPr>
          <w:ilvl w:val="0"/>
          <w:numId w:val="1009"/>
        </w:numPr>
        <w:pStyle w:val="Compact"/>
      </w:pPr>
      <w:r>
        <w:rPr>
          <w:bCs/>
          <w:b/>
        </w:rPr>
        <w:t xml:space="preserve">Material Acquisition (21.34%):</w:t>
      </w:r>
      <w:r>
        <w:t xml:space="preserve"> </w:t>
      </w:r>
      <w:r>
        <w:t xml:space="preserve">The extraction and processing of raw materials, particularly aluminum and battery components, represent a considerable upstream impact. Optimizing material choices, increasing recycled content, and sourcing from low-carbon suppliers are crucial.</w:t>
      </w:r>
    </w:p>
    <w:bookmarkEnd w:id="33"/>
    <w:bookmarkStart w:id="34" w:name="reliability-statement"/>
    <w:p>
      <w:pPr>
        <w:pStyle w:val="Heading3"/>
      </w:pPr>
      <w:r>
        <w:t xml:space="preserve">Reliability Statement</w:t>
      </w:r>
    </w:p>
    <w:p>
      <w:pPr>
        <w:pStyle w:val="FirstParagraph"/>
      </w:pPr>
      <w:r>
        <w:t xml:space="preserve">The reliability of this PCF analysis is contingent upon the accuracy and completeness of the input data. While industry-standard emission factors (e.g., from Ecoinvent/DEFRA equivalents) have been used for illustrative calculations where specific data was not provided, primary data from tokgrfemzf\'s supply chain and operations would enhance accuracy. The use of illustrative numerical values for `zffjkzmvzk`, `pmltjlrjnd`, `lxpiwudmsj`, `thnkurvsws`, `nmnxnnhekz`, and `whruhpmopk` affects the quantitative results, but the methodology and identification of hotspots remain robust. The analysis adheres to the GHG Protocol\'s principles of relevance, completeness, consistency, transparency, and accuracy. Ongoing data collection and integration of supplier-specific information will further improve the precision of future PCF assessments.</w:t>
      </w:r>
    </w:p>
    <w:p>
      <w:r>
        <w:pict>
          <v:rect style="width:0;height:1.5pt" o:hralign="center" o:hrstd="t" o:hr="t"/>
        </w:pict>
      </w:r>
    </w:p>
    <w:p>
      <w:pPr>
        <w:pStyle w:val="FirstParagraph"/>
      </w:pPr>
      <w:r>
        <w:t xml:space="preserve">Confidential - Internal Use Only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xlonmlujjd</dc:title>
  <dc:creator/>
  <dc:description>A high-detail Product Carbon Footprint (PCF) analysis report for xlonmlujjd by euqfteshrs, Senior Sustainability Consultant at tokgrfemzf, adhering to GHG Protocol and 2026 LSR Update.</dc:description>
  <dc:language>en</dc:language>
  <cp:keywords/>
  <dcterms:created xsi:type="dcterms:W3CDTF">2026-07-16T03:18:32Z</dcterms:created>
  <dcterms:modified xsi:type="dcterms:W3CDTF">2026-07-16T03:18:32Z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