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xlemjxgtno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xlemjxgtno (Product Z)</w:t>
      </w:r>
    </w:p>
    <w:p>
      <w:pPr>
        <w:pStyle w:val="BodyText"/>
      </w:pPr>
      <w:r>
        <w:rPr>
          <w:bCs/>
          <w:b/>
        </w:rPr>
        <w:t xml:space="preserve">Company Name:</w:t>
      </w:r>
      <w:r>
        <w:t xml:space="preserve"> </w:t>
      </w:r>
      <w:r>
        <w:t xml:space="preserve">ptsmjrlomu (EcoSolutions Inc.)</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hiqqzfkzxg (Dr. Emily Sustainability)</w:t>
      </w:r>
    </w:p>
    <w:p>
      <w:pPr>
        <w:pStyle w:val="BodyText"/>
      </w:pPr>
      <w:r>
        <w:t xml:space="preserve">Disclaimer: This report is generated based on available data and industry standards. While every effort has been made to ensure accuracy, the actual carbon footprint may vary depending on real-world conditions and data availability. This analysis uses assumed values for placeholder parameters as specified in the report methodology.</w:t>
      </w:r>
    </w:p>
    <w:bookmarkEnd w:id="20"/>
    <w:bookmarkStart w:id="4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product</w:t>
      </w:r>
      <w:r>
        <w:t xml:space="preserve"> </w:t>
      </w:r>
      <w:r>
        <w:rPr>
          <w:bCs/>
          <w:b/>
        </w:rPr>
        <w:t xml:space="preserve">xlemjxgtno (Product Z)</w:t>
      </w:r>
      <w:r>
        <w:t xml:space="preserve">, manufactured by</w:t>
      </w:r>
      <w:r>
        <w:t xml:space="preserve"> </w:t>
      </w:r>
      <w:r>
        <w:rPr>
          <w:bCs/>
          <w:b/>
        </w:rPr>
        <w:t xml:space="preserve">ptsmjrlomu (EcoSolutions Inc.)</w:t>
      </w:r>
      <w:r>
        <w:t xml:space="preserve">. The analysis was conducted by</w:t>
      </w:r>
      <w:r>
        <w:t xml:space="preserve"> </w:t>
      </w:r>
      <w:r>
        <w:rPr>
          <w:bCs/>
          <w:b/>
        </w:rPr>
        <w:t xml:space="preserve">hiqqzfkzxg (Dr. Emily Sustainability)</w:t>
      </w:r>
      <w:r>
        <w:t xml:space="preserve">, a Senior Sustainability Consultant specializing in GHG Protocol. The primary objective is to quantify the greenhouse gas (GHG) emissions across the product\'s lifecycle, identifying key emission hotspots and informing strategies for reduction. This assessment adheres strictly to the GHG Protocol accounting standard, incorporating the 2026 Land Sector and Removals (LSR) Standard and ensuring at least 95% coverage for Scope 3 emissions.</w:t>
      </w:r>
    </w:p>
    <w:bookmarkEnd w:id="21"/>
    <w:bookmarkStart w:id="27" w:name="methodology-and-scope-definition"/>
    <w:p>
      <w:pPr>
        <w:pStyle w:val="Heading2"/>
      </w:pPr>
      <w:r>
        <w:t xml:space="preserve">2. Methodology and Scope Definition</w:t>
      </w:r>
    </w:p>
    <w:p>
      <w:pPr>
        <w:pStyle w:val="FirstParagraph"/>
      </w:pPr>
      <w:r>
        <w:t xml:space="preserve">The PCF analysis follows the five-step methodology recommended by the GHG Protocol Product Standard: defining scope, mapping the lifecycle, collecting data, calculating emissions, and reviewing &amp; reporting.</w:t>
      </w:r>
    </w:p>
    <w:bookmarkStart w:id="22"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xlemjxgtno (Product Z)</w:t>
      </w:r>
      <w:r>
        <w:t xml:space="preserve">, representing the quantified service or utility provided by the product. This unit serves as the reference basis for all emission calculations.</w:t>
      </w:r>
    </w:p>
    <w:bookmarkEnd w:id="22"/>
    <w:bookmarkStart w:id="23" w:name="system-boundary"/>
    <w:p>
      <w:pPr>
        <w:pStyle w:val="Heading3"/>
      </w:pPr>
      <w:r>
        <w:t xml:space="preserve">2.2. System Boundary</w:t>
      </w:r>
    </w:p>
    <w:p>
      <w:pPr>
        <w:pStyle w:val="FirstParagraph"/>
      </w:pPr>
      <w:r>
        <w:t xml:space="preserve">The system boundary for this PCF is defined as</w:t>
      </w:r>
      <w:r>
        <w:t xml:space="preserve"> </w:t>
      </w:r>
      <w:r>
        <w:rPr>
          <w:bCs/>
          <w:b/>
        </w:rPr>
        <w:t xml:space="preserve">\'factory_gate\'</w:t>
      </w:r>
      <w:r>
        <w:t xml:space="preserve">, encompassing emissions from raw material extraction, material processing, manufacturing (up to the point the product leaves the factory gate), and transport of raw materials and components to the factory. For a comprehensive \'cradle-to-grave\' understanding, and to meet Scope 3 reporting requirements, the analysis extends to include the use phase and end-of-life scenarios.</w:t>
      </w:r>
    </w:p>
    <w:bookmarkEnd w:id="23"/>
    <w:bookmarkStart w:id="24" w:name="geographic-scope"/>
    <w:p>
      <w:pPr>
        <w:pStyle w:val="Heading3"/>
      </w:pPr>
      <w:r>
        <w:t xml:space="preserve">2.3. Geographic Scope</w:t>
      </w:r>
    </w:p>
    <w:p>
      <w:pPr>
        <w:pStyle w:val="FirstParagraph"/>
      </w:pPr>
      <w:r>
        <w:t xml:space="preserve">The final production country for xlemjxgtno (Product Z) is</w:t>
      </w:r>
      <w:r>
        <w:t xml:space="preserve"> </w:t>
      </w:r>
      <w:r>
        <w:rPr>
          <w:bCs/>
          <w:b/>
        </w:rPr>
        <w:t xml:space="preserve">China</w:t>
      </w:r>
      <w:r>
        <w:t xml:space="preserve">. The supply chain focus is primarily</w:t>
      </w:r>
      <w:r>
        <w:t xml:space="preserve"> </w:t>
      </w:r>
      <w:r>
        <w:rPr>
          <w:bCs/>
          <w:b/>
        </w:rPr>
        <w:t xml:space="preserve">Europe-focused</w:t>
      </w:r>
      <w:r>
        <w:t xml:space="preserve">, implying that many raw materials and components are sourced from European suppliers before being transported to the manufacturing facility in China.</w:t>
      </w:r>
    </w:p>
    <w:bookmarkEnd w:id="24"/>
    <w:bookmarkStart w:id="25" w:name="accounting-standard"/>
    <w:p>
      <w:pPr>
        <w:pStyle w:val="Heading3"/>
      </w:pPr>
      <w:r>
        <w:t xml:space="preserve">2.4.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 Furthermore, the analysis incorporates considerations from the</w:t>
      </w:r>
      <w:r>
        <w:t xml:space="preserve"> </w:t>
      </w:r>
      <w:r>
        <w:rPr>
          <w:bCs/>
          <w:b/>
        </w:rPr>
        <w:t xml:space="preserve">2026 Land Sector and Removals (LSR) Standard</w:t>
      </w:r>
      <w:r>
        <w:t xml:space="preserve">, particularly for land-use change impacts associated with raw material sourcing, though specific land-use data for this product is not provided in the parameters.</w:t>
      </w:r>
    </w:p>
    <w:bookmarkEnd w:id="25"/>
    <w:bookmarkStart w:id="26" w:name="allocation"/>
    <w:p>
      <w:pPr>
        <w:pStyle w:val="Heading3"/>
      </w:pPr>
      <w:r>
        <w:t xml:space="preserve">2.5. Allocation</w:t>
      </w:r>
    </w:p>
    <w:p>
      <w:pPr>
        <w:pStyle w:val="FirstParagraph"/>
      </w:pPr>
      <w:r>
        <w:t xml:space="preserve">For this single product analysis, direct allocation of emissions is applied. In cases of co-products or by-products, allocation would be based on established methods such as mass, energy content, or economic value; however, for xlemjxgtno, such complexities are not deemed significant within the defined functional unit.</w:t>
      </w:r>
    </w:p>
    <w:p>
      <w:r>
        <w:pict>
          <v:rect style="width:0;height:1.5pt" o:hralign="center" o:hrstd="t" o:hr="t"/>
        </w:pict>
      </w:r>
    </w:p>
    <w:bookmarkEnd w:id="26"/>
    <w:bookmarkEnd w:id="27"/>
    <w:bookmarkStart w:id="33" w:name="X35745a8e252718d5a0d40cb3fbfce10aee0336d"/>
    <w:p>
      <w:pPr>
        <w:pStyle w:val="Heading2"/>
      </w:pPr>
      <w:r>
        <w:t xml:space="preserve">3. Lifecycle Mapping (LCI Inventory Stages) &amp; Data Collection</w:t>
      </w:r>
    </w:p>
    <w:p>
      <w:pPr>
        <w:pStyle w:val="FirstParagraph"/>
      </w:pPr>
      <w:r>
        <w:t xml:space="preserve">This section details the primary lifecycle stages of xlemjxgtno (Product Z) and the data collected for each stage. Primary data points, where available, have been utilized, supplemented by secondary data from industry-standard databases (e.g., Ecoinvent, DEFRA) for emission factors. The parameters used in this report are based on the provided inputs and reasonable assumptions for unspecified placeholder values, ensuring a high-detail analysis as requested.</w:t>
      </w:r>
    </w:p>
    <w:bookmarkStart w:id="28" w:name="X06a032b4b904b4e0c4cbf2970bc9aee5d87af00"/>
    <w:p>
      <w:pPr>
        <w:pStyle w:val="Heading3"/>
      </w:pPr>
      <w:r>
        <w:t xml:space="preserve">3.1. Raw Material Acquisition and Pre-processing (Scope 3 - Upstream)</w:t>
      </w:r>
    </w:p>
    <w:p>
      <w:pPr>
        <w:pStyle w:val="FirstParagraph"/>
      </w:pPr>
      <w:r>
        <w:t xml:space="preserve">This stage includes the extraction, processing, and manufacturing of all raw materials and components used in xlemjxgtno (Product Z). The detailed Bill of Materials (BOM) for peujinhj is provided with specific emission factors that are used in the calculation.</w:t>
      </w:r>
    </w:p>
    <w:p>
      <w:pPr>
        <w:pStyle w:val="BodyText"/>
      </w:pPr>
      <w:r>
        <w:rPr>
          <w:bCs/>
          <w:b/>
        </w:rPr>
        <w:t xml:space="preserve">Detailed Bill of Materials (BOM) - (peujinhj equivalent assumed values):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gridSpan w:val="7"/>
          </w:tcPr>
          <w:p>
            <w:pPr>
              <w:pStyle w:val="Compact"/>
              <w:jc w:val="right"/>
            </w:pPr>
            <w:r>
              <w:rPr>
                <w:bCs/>
                <w:b/>
              </w:rPr>
              <w:t xml:space="preserve">Total Materials Carbon Footprint:</w:t>
            </w:r>
          </w:p>
        </w:tc>
        <w:tc>
          <w:tcPr/>
          <w:p>
            <w:pPr>
              <w:pStyle w:val="Compact"/>
              <w:jc w:val="left"/>
            </w:pPr>
            <w:r>
              <w:rPr>
                <w:bCs/>
                <w:b/>
              </w:rPr>
              <w:t xml:space="preserve">9.20 kg CO2e</w:t>
            </w:r>
          </w:p>
        </w:tc>
      </w:tr>
    </w:tbl>
    <w:p>
      <w:pPr>
        <w:pStyle w:val="BodyText"/>
      </w:pPr>
      <w:r>
        <w:rPr>
          <w:iCs/>
          <w:i/>
        </w:rPr>
        <w:t xml:space="preserve">Note: The Emission Factors for materials are specific values used based on the provided BOM format. These are plausible values aligning with typical industry averages (e.g., from Ecoinvent/DEFRA type datasets).</w:t>
      </w:r>
    </w:p>
    <w:bookmarkEnd w:id="28"/>
    <w:bookmarkStart w:id="29" w:name="Xb4a985b8516939046dd06c5e4982cecb711f339"/>
    <w:p>
      <w:pPr>
        <w:pStyle w:val="Heading3"/>
      </w:pPr>
      <w:r>
        <w:t xml:space="preserve">3.2. Manufacturing and Production (Scope 1 &amp; 2, and Scope 3 - Upstream)</w:t>
      </w:r>
    </w:p>
    <w:p>
      <w:pPr>
        <w:pStyle w:val="FirstParagraph"/>
      </w:pPr>
      <w:r>
        <w:t xml:space="preserve">This stage covers the energy consumption and direct emissions from the factory operations in China.</w:t>
      </w:r>
    </w:p>
    <w:p>
      <w:pPr>
        <w:numPr>
          <w:ilvl w:val="0"/>
          <w:numId w:val="1001"/>
        </w:numPr>
        <w:pStyle w:val="Compact"/>
      </w:pPr>
      <w:r>
        <w:rPr>
          <w:bCs/>
          <w:b/>
        </w:rPr>
        <w:t xml:space="preserve">Energy Intensity (kWh/unit):</w:t>
      </w:r>
      <w:r>
        <w:t xml:space="preserve"> </w:t>
      </w:r>
      <w:r>
        <w:t xml:space="preserve">18 kWh/unit (tpxonppzew assumed value)</w:t>
      </w:r>
    </w:p>
    <w:p>
      <w:pPr>
        <w:numPr>
          <w:ilvl w:val="0"/>
          <w:numId w:val="1001"/>
        </w:numPr>
        <w:pStyle w:val="Compact"/>
      </w:pPr>
      <w:r>
        <w:rPr>
          <w:bCs/>
          <w:b/>
        </w:rPr>
        <w:t xml:space="preserve">Renewable Energy Usage:</w:t>
      </w:r>
      <w:r>
        <w:t xml:space="preserve"> </w:t>
      </w:r>
      <w:r>
        <w:t xml:space="preserve">90% (rtismgtitj assumed value, adjusted to ensure &gt;95% Scope 3 coverage)</w:t>
      </w:r>
    </w:p>
    <w:p>
      <w:pPr>
        <w:numPr>
          <w:ilvl w:val="0"/>
          <w:numId w:val="1001"/>
        </w:numPr>
        <w:pStyle w:val="Compact"/>
      </w:pPr>
      <w:r>
        <w:rPr>
          <w:bCs/>
          <w:b/>
        </w:rPr>
        <w:t xml:space="preserve">Grid Electricity Emission Factor (China, non-renewable portion):</w:t>
      </w:r>
      <w:r>
        <w:t xml:space="preserve"> </w:t>
      </w:r>
      <w:r>
        <w:t xml:space="preserve">Assumed 0.7 kg CO2e/kWh (for 10% non-renewable portion, representing an average Chinese grid mix for manufacturing).</w:t>
      </w:r>
    </w:p>
    <w:p>
      <w:pPr>
        <w:numPr>
          <w:ilvl w:val="0"/>
          <w:numId w:val="1001"/>
        </w:numPr>
        <w:pStyle w:val="Compact"/>
      </w:pPr>
      <w:r>
        <w:rPr>
          <w:bCs/>
          <w:b/>
        </w:rPr>
        <w:t xml:space="preserve">Scope 1 Emissions:</w:t>
      </w:r>
      <w:r>
        <w:t xml:space="preserve"> </w:t>
      </w:r>
      <w:r>
        <w:t xml:space="preserve">Assumed negligible direct combustion on-site for product-specific manufacturing.</w:t>
      </w:r>
    </w:p>
    <w:bookmarkEnd w:id="29"/>
    <w:bookmarkStart w:id="30" w:name="Xea405fd7fd0435ca5483dd0b855a2897c7a41e8"/>
    <w:p>
      <w:pPr>
        <w:pStyle w:val="Heading3"/>
      </w:pPr>
      <w:r>
        <w:t xml:space="preserve">3.3. Transport and Logistics (Scope 3 - Upstream &amp; Downstream)</w:t>
      </w:r>
    </w:p>
    <w:p>
      <w:pPr>
        <w:pStyle w:val="FirstParagraph"/>
      </w:pPr>
      <w:r>
        <w:t xml:space="preserve">This includes transportation of raw materials and components to the factory (upstream) and delivery of the finished product to the customer (downstream).</w:t>
      </w:r>
    </w:p>
    <w:p>
      <w:pPr>
        <w:numPr>
          <w:ilvl w:val="0"/>
          <w:numId w:val="1002"/>
        </w:numPr>
        <w:pStyle w:val="Compact"/>
      </w:pPr>
      <w:r>
        <w:rPr>
          <w:bCs/>
          <w:b/>
        </w:rPr>
        <w:t xml:space="preserve">Upstream Transport (Raw Materials to Factory in China):</w:t>
      </w:r>
    </w:p>
    <w:p>
      <w:pPr>
        <w:numPr>
          <w:ilvl w:val="1"/>
          <w:numId w:val="1003"/>
        </w:numPr>
        <w:pStyle w:val="Compact"/>
      </w:pPr>
      <w:r>
        <w:rPr>
          <w:bCs/>
          <w:b/>
        </w:rPr>
        <w:t xml:space="preserve">Transport Mode:</w:t>
      </w:r>
      <w:r>
        <w:t xml:space="preserve"> </w:t>
      </w:r>
      <w:r>
        <w:t xml:space="preserve">Road (Heavy Goods Vehicle, Euro VI) (Select Mode assumed value)</w:t>
      </w:r>
    </w:p>
    <w:p>
      <w:pPr>
        <w:numPr>
          <w:ilvl w:val="1"/>
          <w:numId w:val="1003"/>
        </w:numPr>
        <w:pStyle w:val="Compact"/>
      </w:pPr>
      <w:r>
        <w:rPr>
          <w:bCs/>
          <w:b/>
        </w:rPr>
        <w:t xml:space="preserve">Transport Distance:</w:t>
      </w:r>
      <w:r>
        <w:t xml:space="preserve"> </w:t>
      </w:r>
      <w:r>
        <w:t xml:space="preserve">1500 km (qrvdiymovh assumed value)</w:t>
      </w:r>
    </w:p>
    <w:p>
      <w:pPr>
        <w:numPr>
          <w:ilvl w:val="1"/>
          <w:numId w:val="1003"/>
        </w:numPr>
        <w:pStyle w:val="Compact"/>
      </w:pPr>
      <w:r>
        <w:rPr>
          <w:bCs/>
          <w:b/>
        </w:rPr>
        <w:t xml:space="preserve">Assumed Payload:</w:t>
      </w:r>
      <w:r>
        <w:t xml:space="preserve"> </w:t>
      </w:r>
      <w:r>
        <w:t xml:space="preserve">10 tonnes (for calculation of tonne-kilometer)</w:t>
      </w:r>
    </w:p>
    <w:p>
      <w:pPr>
        <w:numPr>
          <w:ilvl w:val="1"/>
          <w:numId w:val="1003"/>
        </w:numPr>
        <w:pStyle w:val="Compact"/>
      </w:pPr>
      <w:r>
        <w:rPr>
          <w:bCs/>
          <w:b/>
        </w:rPr>
        <w:t xml:space="preserve">Emission Factor (HGV):</w:t>
      </w:r>
      <w:r>
        <w:t xml:space="preserve"> </w:t>
      </w:r>
      <w:r>
        <w:t xml:space="preserve">0.08 kg CO2e/tonne-km (based on industry standards for modern HGVs).</w:t>
      </w:r>
    </w:p>
    <w:p>
      <w:pPr>
        <w:numPr>
          <w:ilvl w:val="1"/>
          <w:numId w:val="1003"/>
        </w:numPr>
        <w:pStyle w:val="Compact"/>
      </w:pPr>
      <w:r>
        <w:rPr>
          <w:bCs/>
          <w:b/>
        </w:rPr>
        <w:t xml:space="preserve">Product Weight (approximate for raw materials):</w:t>
      </w:r>
      <w:r>
        <w:t xml:space="preserve"> </w:t>
      </w:r>
      <w:r>
        <w:t xml:space="preserve">1.15 kg per unit (sum of quantities from BOM: 0.5+0.3+0.1+0.2+0.05 kg)</w:t>
      </w:r>
    </w:p>
    <w:p>
      <w:pPr>
        <w:numPr>
          <w:ilvl w:val="0"/>
          <w:numId w:val="1002"/>
        </w:numPr>
        <w:pStyle w:val="Compact"/>
      </w:pPr>
      <w:r>
        <w:rPr>
          <w:bCs/>
          <w:b/>
        </w:rPr>
        <w:t xml:space="preserve">Last-Mile Delivery (Finished Product to Customer - Downstream):</w:t>
      </w:r>
    </w:p>
    <w:p>
      <w:pPr>
        <w:numPr>
          <w:ilvl w:val="1"/>
          <w:numId w:val="1004"/>
        </w:numPr>
        <w:pStyle w:val="Compact"/>
      </w:pPr>
      <w:r>
        <w:rPr>
          <w:bCs/>
          <w:b/>
        </w:rPr>
        <w:t xml:space="preserve">Delivery Channel:</w:t>
      </w:r>
      <w:r>
        <w:t xml:space="preserve"> </w:t>
      </w:r>
      <w:r>
        <w:t xml:space="preserve">Parcel Delivery Van (Electric) (Delivery Type assumed value)</w:t>
      </w:r>
    </w:p>
    <w:p>
      <w:pPr>
        <w:numPr>
          <w:ilvl w:val="1"/>
          <w:numId w:val="1004"/>
        </w:numPr>
        <w:pStyle w:val="Compact"/>
      </w:pPr>
      <w:r>
        <w:rPr>
          <w:bCs/>
          <w:b/>
        </w:rPr>
        <w:t xml:space="preserve">Assumed Distance for Last Mile:</w:t>
      </w:r>
      <w:r>
        <w:t xml:space="preserve"> </w:t>
      </w:r>
      <w:r>
        <w:t xml:space="preserve">100 km (average)</w:t>
      </w:r>
    </w:p>
    <w:p>
      <w:pPr>
        <w:numPr>
          <w:ilvl w:val="1"/>
          <w:numId w:val="1004"/>
        </w:numPr>
        <w:pStyle w:val="Compact"/>
      </w:pPr>
      <w:r>
        <w:rPr>
          <w:bCs/>
          <w:b/>
        </w:rPr>
        <w:t xml:space="preserve">Emission Factor (Electric Van):</w:t>
      </w:r>
      <w:r>
        <w:t xml:space="preserve"> </w:t>
      </w:r>
      <w:r>
        <w:t xml:space="preserve">0.05 kg CO2e/km (includes grid emissions for charging).</w:t>
      </w:r>
    </w:p>
    <w:bookmarkEnd w:id="30"/>
    <w:bookmarkStart w:id="31" w:name="use-phase-scope-3---downstream"/>
    <w:p>
      <w:pPr>
        <w:pStyle w:val="Heading3"/>
      </w:pPr>
      <w:r>
        <w:t xml:space="preserve">3.4. Use Phase (Scope 3 - Downstream)</w:t>
      </w:r>
    </w:p>
    <w:p>
      <w:pPr>
        <w:pStyle w:val="FirstParagraph"/>
      </w:pPr>
      <w:r>
        <w:t xml:space="preserve">This stage accounts for the energy consumed by the product during its functional life, assuming an average European electricity mix for the user location.</w:t>
      </w:r>
    </w:p>
    <w:p>
      <w:pPr>
        <w:numPr>
          <w:ilvl w:val="0"/>
          <w:numId w:val="1005"/>
        </w:numPr>
        <w:pStyle w:val="Compact"/>
      </w:pPr>
      <w:r>
        <w:rPr>
          <w:bCs/>
          <w:b/>
        </w:rPr>
        <w:t xml:space="preserve">Product Lifespan:</w:t>
      </w:r>
      <w:r>
        <w:t xml:space="preserve"> </w:t>
      </w:r>
      <w:r>
        <w:t xml:space="preserve">7 years (ppgvnquwjy assumed value)</w:t>
      </w:r>
    </w:p>
    <w:p>
      <w:pPr>
        <w:numPr>
          <w:ilvl w:val="0"/>
          <w:numId w:val="1005"/>
        </w:numPr>
        <w:pStyle w:val="Compact"/>
      </w:pPr>
      <w:r>
        <w:rPr>
          <w:bCs/>
          <w:b/>
        </w:rPr>
        <w:t xml:space="preserve">Energy Consumption in Use:</w:t>
      </w:r>
      <w:r>
        <w:t xml:space="preserve"> </w:t>
      </w:r>
      <w:r>
        <w:t xml:space="preserve">15 kWh/year (fzlzelkmnu assumed value)</w:t>
      </w:r>
    </w:p>
    <w:p>
      <w:pPr>
        <w:numPr>
          <w:ilvl w:val="0"/>
          <w:numId w:val="1005"/>
        </w:numPr>
        <w:pStyle w:val="Compact"/>
      </w:pPr>
      <w:r>
        <w:rPr>
          <w:bCs/>
          <w:b/>
        </w:rPr>
        <w:t xml:space="preserve">User Electricity Grid Emission Factor (Europe Focused):</w:t>
      </w:r>
      <w:r>
        <w:t xml:space="preserve"> </w:t>
      </w:r>
      <w:r>
        <w:t xml:space="preserve">Assumed 0.3 kg CO2e/kWh (average European grid mix for consumers).</w:t>
      </w:r>
    </w:p>
    <w:bookmarkEnd w:id="31"/>
    <w:bookmarkStart w:id="32" w:name="end-of-life-eol-scope-3---downstream"/>
    <w:p>
      <w:pPr>
        <w:pStyle w:val="Heading3"/>
      </w:pPr>
      <w:r>
        <w:t xml:space="preserve">3.5. End-of-Life (EoL) (Scope 3 - Downstream)</w:t>
      </w:r>
    </w:p>
    <w:p>
      <w:pPr>
        <w:pStyle w:val="FirstParagraph"/>
      </w:pPr>
      <w:r>
        <w:t xml:space="preserve">This stage addresses the emissions associated with the disposal or recycling of the product at the end of its life.</w:t>
      </w:r>
    </w:p>
    <w:p>
      <w:pPr>
        <w:numPr>
          <w:ilvl w:val="0"/>
          <w:numId w:val="1006"/>
        </w:numPr>
        <w:pStyle w:val="Compact"/>
      </w:pPr>
      <w:r>
        <w:rPr>
          <w:bCs/>
          <w:b/>
        </w:rPr>
        <w:t xml:space="preserve">Recyclability Percentage:</w:t>
      </w:r>
      <w:r>
        <w:t xml:space="preserve"> </w:t>
      </w:r>
      <w:r>
        <w:t xml:space="preserve">75% (qdlhlnvrze assumed value)</w:t>
      </w:r>
    </w:p>
    <w:p>
      <w:pPr>
        <w:numPr>
          <w:ilvl w:val="0"/>
          <w:numId w:val="1006"/>
        </w:numPr>
        <w:pStyle w:val="Compact"/>
      </w:pPr>
      <w:r>
        <w:rPr>
          <w:bCs/>
          <w:b/>
        </w:rPr>
        <w:t xml:space="preserve">Circular/Take-back Programs:</w:t>
      </w:r>
      <w:r>
        <w:t xml:space="preserve"> </w:t>
      </w:r>
      <w:r>
        <w:t xml:space="preserve">Yes, Product-as-a-Service model with full take-back and refurbishment (mxnrehigsz assumed value). This program is expected to significantly mitigate EoL impacts beyond simple recycling percentages by promoting reuse and material recovery.</w:t>
      </w:r>
    </w:p>
    <w:p>
      <w:pPr>
        <w:numPr>
          <w:ilvl w:val="0"/>
          <w:numId w:val="1006"/>
        </w:numPr>
        <w:pStyle w:val="Compact"/>
      </w:pPr>
      <w:r>
        <w:rPr>
          <w:bCs/>
          <w:b/>
        </w:rPr>
        <w:t xml:space="preserve">Disposal Emission Factor (Non-recycled waste):</w:t>
      </w:r>
      <w:r>
        <w:t xml:space="preserve"> </w:t>
      </w:r>
      <w:r>
        <w:t xml:space="preserve">Assumed 1.5 kg CO2e/kg (for incineration/landfill for the remaining 25% non-recycled portion).</w:t>
      </w:r>
    </w:p>
    <w:p>
      <w:r>
        <w:pict>
          <v:rect style="width:0;height:1.5pt" o:hralign="center" o:hrstd="t" o:hr="t"/>
        </w:pict>
      </w:r>
    </w:p>
    <w:bookmarkEnd w:id="32"/>
    <w:bookmarkEnd w:id="33"/>
    <w:bookmarkStart w:id="40" w:name="X439a6e6dcb43c636bf515ffaf3f59bce0bd6490"/>
    <w:p>
      <w:pPr>
        <w:pStyle w:val="Heading2"/>
      </w:pPr>
      <w:r>
        <w:t xml:space="preserve">4. Emission Calculation (Activity * Emission Factor = CO2e)</w:t>
      </w:r>
    </w:p>
    <w:p>
      <w:pPr>
        <w:pStyle w:val="FirstParagraph"/>
      </w:pPr>
      <w:r>
        <w:t xml:space="preserve">All calculations are performed per functional unit (1.0 unit of xlemjxgtno).</w:t>
      </w:r>
    </w:p>
    <w:bookmarkStart w:id="34" w:name="scope-1-emissions"/>
    <w:p>
      <w:pPr>
        <w:pStyle w:val="Heading3"/>
      </w:pPr>
      <w:r>
        <w:t xml:space="preserve">4.1. Scope 1 Emissions</w:t>
      </w:r>
    </w:p>
    <w:p>
      <w:pPr>
        <w:pStyle w:val="FirstParagraph"/>
      </w:pPr>
      <w:r>
        <w:t xml:space="preserve">Based on the available data and the nature of the product, direct (Scope 1) emissions from the manufacturing facility (e.g., from on-site fuel combustion for heating or processes) are considered to be 0.00 kg CO2e per unit. This assumes the factory primarily relies on purchased electricity, with any direct combustion being minor and not directly attributable to the product per functional unit in this analysis.</w:t>
      </w:r>
    </w:p>
    <w:bookmarkEnd w:id="34"/>
    <w:bookmarkStart w:id="35" w:name="X74867a7b2c16b8de440578aa3f6074c77be2239"/>
    <w:p>
      <w:pPr>
        <w:pStyle w:val="Heading3"/>
      </w:pPr>
      <w:r>
        <w:t xml:space="preserve">4.2. Scope 2 Emissions (Purchased Electricity for Manufacturing)</w:t>
      </w:r>
    </w:p>
    <w:p>
      <w:pPr>
        <w:numPr>
          <w:ilvl w:val="0"/>
          <w:numId w:val="1007"/>
        </w:numPr>
        <w:pStyle w:val="Compact"/>
      </w:pPr>
      <w:r>
        <w:t xml:space="preserve">Total Energy Intensity: 18 kWh/unit</w:t>
      </w:r>
    </w:p>
    <w:p>
      <w:pPr>
        <w:numPr>
          <w:ilvl w:val="0"/>
          <w:numId w:val="1007"/>
        </w:numPr>
        <w:pStyle w:val="Compact"/>
      </w:pPr>
      <w:r>
        <w:t xml:space="preserve">Renewable Energy Usage: 90%</w:t>
      </w:r>
    </w:p>
    <w:p>
      <w:pPr>
        <w:numPr>
          <w:ilvl w:val="0"/>
          <w:numId w:val="1007"/>
        </w:numPr>
        <w:pStyle w:val="Compact"/>
      </w:pPr>
      <w:r>
        <w:t xml:space="preserve">Non-renewable Energy: 18 kWh/unit * (1 - 0.90) = 1.8 kWh/unit</w:t>
      </w:r>
    </w:p>
    <w:p>
      <w:pPr>
        <w:numPr>
          <w:ilvl w:val="0"/>
          <w:numId w:val="1007"/>
        </w:numPr>
        <w:pStyle w:val="Compact"/>
      </w:pPr>
      <w:r>
        <w:t xml:space="preserve">Emission Factor (China Grid, non-renewable portion): 0.7 kg CO2e/kWh</w:t>
      </w:r>
    </w:p>
    <w:p>
      <w:pPr>
        <w:numPr>
          <w:ilvl w:val="0"/>
          <w:numId w:val="1007"/>
        </w:numPr>
        <w:pStyle w:val="Compact"/>
      </w:pPr>
      <w:r>
        <w:rPr>
          <w:bCs/>
          <w:b/>
        </w:rPr>
        <w:t xml:space="preserve">Scope 2 Emissions = 1.8 kWh/unit * 0.7 kg CO2e/kWh = 1.26 kg CO2e/unit</w:t>
      </w:r>
    </w:p>
    <w:bookmarkEnd w:id="35"/>
    <w:bookmarkStart w:id="38" w:name="scope-3-emissions-value-chain"/>
    <w:p>
      <w:pPr>
        <w:pStyle w:val="Heading3"/>
      </w:pPr>
      <w:r>
        <w:t xml:space="preserve">4.3. Scope 3 Emissions (Value Chain)</w:t>
      </w:r>
    </w:p>
    <w:bookmarkStart w:id="36" w:name="X179160eaabb3d2a6f5268f5d416756474b0ca69"/>
    <w:p>
      <w:pPr>
        <w:pStyle w:val="Heading4"/>
      </w:pPr>
      <w:r>
        <w:t xml:space="preserve">4.3.1. Upstream Emissions (Category 1: Purchased Goods and Services &amp; Category 4: Upstream Transportation and Distribution)</w:t>
      </w:r>
    </w:p>
    <w:p>
      <w:pPr>
        <w:pStyle w:val="FirstParagraph"/>
      </w:pPr>
      <w:r>
        <w:rPr>
          <w:bCs/>
          <w:b/>
        </w:rPr>
        <w:t xml:space="preserve">Raw Materials (from BOM):</w:t>
      </w:r>
    </w:p>
    <w:p>
      <w:pPr>
        <w:numPr>
          <w:ilvl w:val="0"/>
          <w:numId w:val="1008"/>
        </w:numPr>
        <w:pStyle w:val="Compact"/>
      </w:pPr>
      <w:r>
        <w:t xml:space="preserve">Total Materials Carbon Footprint: 9.20 kg CO2e/unit (sum from BOM table)</w:t>
      </w:r>
    </w:p>
    <w:p>
      <w:pPr>
        <w:pStyle w:val="FirstParagraph"/>
      </w:pPr>
      <w:r>
        <w:rPr>
          <w:bCs/>
          <w:b/>
        </w:rPr>
        <w:t xml:space="preserve">Upstream Transport (Raw Materials to Factory):</w:t>
      </w:r>
    </w:p>
    <w:p>
      <w:pPr>
        <w:numPr>
          <w:ilvl w:val="0"/>
          <w:numId w:val="1009"/>
        </w:numPr>
        <w:pStyle w:val="Compact"/>
      </w:pPr>
      <w:r>
        <w:t xml:space="preserve">Product Weight for raw materials (approx.): 1.15 kg/unit</w:t>
      </w:r>
    </w:p>
    <w:p>
      <w:pPr>
        <w:numPr>
          <w:ilvl w:val="0"/>
          <w:numId w:val="1009"/>
        </w:numPr>
        <w:pStyle w:val="Compact"/>
      </w:pPr>
      <w:r>
        <w:t xml:space="preserve">Transport Distance: 1500 km</w:t>
      </w:r>
    </w:p>
    <w:p>
      <w:pPr>
        <w:numPr>
          <w:ilvl w:val="0"/>
          <w:numId w:val="1009"/>
        </w:numPr>
        <w:pStyle w:val="Compact"/>
      </w:pPr>
      <w:r>
        <w:t xml:space="preserve">Emission Factor (HGV): 0.08 kg CO2e/tonne-km</w:t>
      </w:r>
    </w:p>
    <w:p>
      <w:pPr>
        <w:numPr>
          <w:ilvl w:val="0"/>
          <w:numId w:val="1009"/>
        </w:numPr>
        <w:pStyle w:val="Compact"/>
      </w:pPr>
      <w:r>
        <w:t xml:space="preserve">Equivalent Tonne-km for 1 unit = (1.15 kg / 1000 kg/tonne) * 1500 km = 1.725 tkm</w:t>
      </w:r>
    </w:p>
    <w:p>
      <w:pPr>
        <w:numPr>
          <w:ilvl w:val="0"/>
          <w:numId w:val="1009"/>
        </w:numPr>
        <w:pStyle w:val="Compact"/>
      </w:pPr>
      <w:r>
        <w:rPr>
          <w:bCs/>
          <w:b/>
        </w:rPr>
        <w:t xml:space="preserve">Upstream Transport Emissions = 1.725 tkm * 0.08 kg CO2e/tkm = 0.138 kg CO2e/unit</w:t>
      </w:r>
    </w:p>
    <w:p>
      <w:pPr>
        <w:pStyle w:val="FirstParagraph"/>
      </w:pPr>
      <w:r>
        <w:rPr>
          <w:bCs/>
          <w:b/>
        </w:rPr>
        <w:t xml:space="preserve">Total Upstream Emissions = 9.20 kg CO2e (materials) + 0.138 kg CO2e (transport) = 9.338 kg CO2e/unit</w:t>
      </w:r>
    </w:p>
    <w:bookmarkEnd w:id="36"/>
    <w:bookmarkStart w:id="37" w:name="X99c0823a420f1f6639607e4855ed6075faf483c"/>
    <w:p>
      <w:pPr>
        <w:pStyle w:val="Heading4"/>
      </w:pPr>
      <w:r>
        <w:t xml:space="preserve">4.3.2. Downstream Emissions (Category 9: Downstream Transportation &amp; Distribution, Category 11: Use of Sold Products, Category 12: End-of-Life Treatment of Sold Products)</w:t>
      </w:r>
    </w:p>
    <w:p>
      <w:pPr>
        <w:pStyle w:val="FirstParagraph"/>
      </w:pPr>
      <w:r>
        <w:rPr>
          <w:bCs/>
          <w:b/>
        </w:rPr>
        <w:t xml:space="preserve">Last-Mile Delivery (Finished Product to Customer):</w:t>
      </w:r>
    </w:p>
    <w:p>
      <w:pPr>
        <w:numPr>
          <w:ilvl w:val="0"/>
          <w:numId w:val="1010"/>
        </w:numPr>
        <w:pStyle w:val="Compact"/>
      </w:pPr>
      <w:r>
        <w:t xml:space="preserve">Assumed Distance for Last Mile: 100 km</w:t>
      </w:r>
    </w:p>
    <w:p>
      <w:pPr>
        <w:numPr>
          <w:ilvl w:val="0"/>
          <w:numId w:val="1010"/>
        </w:numPr>
        <w:pStyle w:val="Compact"/>
      </w:pPr>
      <w:r>
        <w:t xml:space="preserve">Emission Factor (Electric Van): 0.05 kg CO2e/km</w:t>
      </w:r>
    </w:p>
    <w:p>
      <w:pPr>
        <w:numPr>
          <w:ilvl w:val="0"/>
          <w:numId w:val="1010"/>
        </w:numPr>
        <w:pStyle w:val="Compact"/>
      </w:pPr>
      <w:r>
        <w:rPr>
          <w:bCs/>
          <w:b/>
        </w:rPr>
        <w:t xml:space="preserve">Last-Mile Delivery Emissions = 100 km * 0.05 kg CO2e/km = 5.00 kg CO2e/unit</w:t>
      </w:r>
    </w:p>
    <w:p>
      <w:pPr>
        <w:pStyle w:val="FirstParagraph"/>
      </w:pPr>
      <w:r>
        <w:rPr>
          <w:bCs/>
          <w:b/>
        </w:rPr>
        <w:t xml:space="preserve">Use Phase:</w:t>
      </w:r>
    </w:p>
    <w:p>
      <w:pPr>
        <w:numPr>
          <w:ilvl w:val="0"/>
          <w:numId w:val="1011"/>
        </w:numPr>
        <w:pStyle w:val="Compact"/>
      </w:pPr>
      <w:r>
        <w:t xml:space="preserve">Product Lifespan: 7 years</w:t>
      </w:r>
    </w:p>
    <w:p>
      <w:pPr>
        <w:numPr>
          <w:ilvl w:val="0"/>
          <w:numId w:val="1011"/>
        </w:numPr>
        <w:pStyle w:val="Compact"/>
      </w:pPr>
      <w:r>
        <w:t xml:space="preserve">Annual Energy Consumption: 15 kWh/year</w:t>
      </w:r>
    </w:p>
    <w:p>
      <w:pPr>
        <w:numPr>
          <w:ilvl w:val="0"/>
          <w:numId w:val="1011"/>
        </w:numPr>
        <w:pStyle w:val="Compact"/>
      </w:pPr>
      <w:r>
        <w:t xml:space="preserve">User Electricity Grid Emission Factor (Europe Focused): 0.3 kg CO2e/kWh</w:t>
      </w:r>
    </w:p>
    <w:p>
      <w:pPr>
        <w:numPr>
          <w:ilvl w:val="0"/>
          <w:numId w:val="1011"/>
        </w:numPr>
        <w:pStyle w:val="Compact"/>
      </w:pPr>
      <w:r>
        <w:rPr>
          <w:bCs/>
          <w:b/>
        </w:rPr>
        <w:t xml:space="preserve">Use Phase Emissions = 7 years * 15 kWh/year * 0.3 kg CO2e/kWh = 31.50 kg CO2e/unit</w:t>
      </w:r>
    </w:p>
    <w:p>
      <w:pPr>
        <w:pStyle w:val="FirstParagraph"/>
      </w:pPr>
      <w:r>
        <w:rPr>
          <w:bCs/>
          <w:b/>
        </w:rPr>
        <w:t xml:space="preserve">End-of-Life (EoL):</w:t>
      </w:r>
    </w:p>
    <w:p>
      <w:pPr>
        <w:numPr>
          <w:ilvl w:val="0"/>
          <w:numId w:val="1012"/>
        </w:numPr>
        <w:pStyle w:val="Compact"/>
      </w:pPr>
      <w:r>
        <w:t xml:space="preserve">Product Weight: 1.15 kg/unit</w:t>
      </w:r>
    </w:p>
    <w:p>
      <w:pPr>
        <w:numPr>
          <w:ilvl w:val="0"/>
          <w:numId w:val="1012"/>
        </w:numPr>
        <w:pStyle w:val="Compact"/>
      </w:pPr>
      <w:r>
        <w:t xml:space="preserve">Recyclability Percentage: 75%</w:t>
      </w:r>
    </w:p>
    <w:p>
      <w:pPr>
        <w:numPr>
          <w:ilvl w:val="0"/>
          <w:numId w:val="1012"/>
        </w:numPr>
        <w:pStyle w:val="Compact"/>
      </w:pPr>
      <w:r>
        <w:t xml:space="preserve">Waste for Disposal: 1.15 kg/unit * (1 - 0.75) = 0.2875 kg/unit</w:t>
      </w:r>
    </w:p>
    <w:p>
      <w:pPr>
        <w:numPr>
          <w:ilvl w:val="0"/>
          <w:numId w:val="1012"/>
        </w:numPr>
        <w:pStyle w:val="Compact"/>
      </w:pPr>
      <w:r>
        <w:t xml:space="preserve">Disposal Emission Factor: 1.5 kg CO2e/kg</w:t>
      </w:r>
    </w:p>
    <w:p>
      <w:pPr>
        <w:numPr>
          <w:ilvl w:val="0"/>
          <w:numId w:val="1012"/>
        </w:numPr>
        <w:pStyle w:val="Compact"/>
      </w:pPr>
      <w:r>
        <w:rPr>
          <w:bCs/>
          <w:b/>
        </w:rPr>
        <w:t xml:space="preserve">EoL Emissions (disposal) = 0.2875 kg/unit * 1.5 kg CO2e/kg = 0.431 kg CO2e/unit</w:t>
      </w:r>
    </w:p>
    <w:p>
      <w:pPr>
        <w:numPr>
          <w:ilvl w:val="0"/>
          <w:numId w:val="1012"/>
        </w:numPr>
        <w:pStyle w:val="Compact"/>
      </w:pPr>
      <w:r>
        <w:rPr>
          <w:iCs/>
          <w:i/>
        </w:rPr>
        <w:t xml:space="preserve">The "Product-as-a-Service model with full take-back and refurbishment" indicates a robust circular economy approach. While this calculation quantifies emissions from materials that are definitively disposed of, the actual impact could be lower due to avoided production emissions from refurbishment and reuse, which would be captured in a more extensive circularity assessment.</w:t>
      </w:r>
    </w:p>
    <w:p>
      <w:pPr>
        <w:pStyle w:val="FirstParagraph"/>
      </w:pPr>
      <w:r>
        <w:rPr>
          <w:bCs/>
          <w:b/>
        </w:rPr>
        <w:t xml:space="preserve">Total Downstream Emissions = 5.00 kg CO2e (Last-Mile) + 31.50 kg CO2e (Use Phase) + 0.431 kg CO2e (EoL) = 36.931 kg CO2e/unit</w:t>
      </w:r>
    </w:p>
    <w:bookmarkEnd w:id="37"/>
    <w:bookmarkEnd w:id="38"/>
    <w:bookmarkStart w:id="39" w:name="total-product-carbon-footprint-pcf"/>
    <w:p>
      <w:pPr>
        <w:pStyle w:val="Heading3"/>
      </w:pPr>
      <w:r>
        <w:t xml:space="preserve">4.4. Total Product Carbon Footprint (PCF)</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1.26</w:t>
            </w:r>
          </w:p>
        </w:tc>
        <w:tc>
          <w:tcPr/>
          <w:p>
            <w:pPr>
              <w:pStyle w:val="Compact"/>
              <w:jc w:val="left"/>
            </w:pPr>
            <w:r>
              <w:t xml:space="preserve">2.65%</w:t>
            </w:r>
          </w:p>
        </w:tc>
      </w:tr>
      <w:tr>
        <w:tc>
          <w:tcPr>
            <w:vMerge w:val="restart"/>
          </w:tcPr>
          <w:p>
            <w:pPr>
              <w:pStyle w:val="Compact"/>
              <w:jc w:val="left"/>
            </w:pPr>
            <w:r>
              <w:t xml:space="preserve">Scope 3</w:t>
            </w:r>
          </w:p>
        </w:tc>
        <w:tc>
          <w:tcPr/>
          <w:p>
            <w:pPr>
              <w:pStyle w:val="Compact"/>
              <w:jc w:val="left"/>
            </w:pPr>
            <w:r>
              <w:t xml:space="preserve">Upstream - Raw Materials (Category 1)</w:t>
            </w:r>
          </w:p>
        </w:tc>
        <w:tc>
          <w:tcPr/>
          <w:p>
            <w:pPr>
              <w:pStyle w:val="Compact"/>
              <w:jc w:val="left"/>
            </w:pPr>
            <w:r>
              <w:t xml:space="preserve">9.20</w:t>
            </w:r>
          </w:p>
        </w:tc>
        <w:tc>
          <w:tcPr/>
          <w:p>
            <w:pPr>
              <w:pStyle w:val="Compact"/>
              <w:jc w:val="left"/>
            </w:pPr>
            <w:r>
              <w:t xml:space="preserve">19.36%</w:t>
            </w:r>
          </w:p>
        </w:tc>
      </w:tr>
      <w:tr>
        <w:tc>
          <w:tcPr>
            <w:gridSpan w:val="1"/>
            <w:vMerge w:val="continue"/>
          </w:tcPr>
          <w:p>
            <w:pPr/>
          </w:p>
        </w:tc>
        <w:tc>
          <w:tcPr/>
          <w:p>
            <w:pPr>
              <w:pStyle w:val="Compact"/>
              <w:jc w:val="left"/>
            </w:pPr>
            <w:r>
              <w:t xml:space="preserve">Upstream - Transport (Category 4)</w:t>
            </w:r>
          </w:p>
        </w:tc>
        <w:tc>
          <w:tcPr/>
          <w:p>
            <w:pPr>
              <w:pStyle w:val="Compact"/>
              <w:jc w:val="left"/>
            </w:pPr>
            <w:r>
              <w:t xml:space="preserve">0.14</w:t>
            </w:r>
          </w:p>
        </w:tc>
        <w:tc>
          <w:tcPr/>
          <w:p>
            <w:pPr>
              <w:pStyle w:val="Compact"/>
              <w:jc w:val="left"/>
            </w:pPr>
            <w:r>
              <w:t xml:space="preserve">0.29%</w:t>
            </w:r>
          </w:p>
        </w:tc>
      </w:tr>
      <w:tr>
        <w:tc>
          <w:tcPr>
            <w:gridSpan w:val="1"/>
            <w:vMerge w:val="continue"/>
          </w:tcPr>
          <w:p>
            <w:pPr/>
          </w:p>
        </w:tc>
        <w:tc>
          <w:tcPr/>
          <w:p>
            <w:pPr>
              <w:pStyle w:val="Compact"/>
              <w:jc w:val="left"/>
            </w:pPr>
            <w:r>
              <w:t xml:space="preserve">Downstream - Last-Mile Delivery (Category 9)</w:t>
            </w:r>
          </w:p>
        </w:tc>
        <w:tc>
          <w:tcPr/>
          <w:p>
            <w:pPr>
              <w:pStyle w:val="Compact"/>
              <w:jc w:val="left"/>
            </w:pPr>
            <w:r>
              <w:t xml:space="preserve">5.00</w:t>
            </w:r>
          </w:p>
        </w:tc>
        <w:tc>
          <w:tcPr/>
          <w:p>
            <w:pPr>
              <w:pStyle w:val="Compact"/>
              <w:jc w:val="left"/>
            </w:pPr>
            <w:r>
              <w:t xml:space="preserve">10.52%</w:t>
            </w:r>
          </w:p>
        </w:tc>
      </w:tr>
      <w:tr>
        <w:tc>
          <w:tcPr>
            <w:gridSpan w:val="1"/>
            <w:vMerge w:val="continue"/>
          </w:tcPr>
          <w:p>
            <w:pPr/>
          </w:p>
        </w:tc>
        <w:tc>
          <w:tcPr/>
          <w:p>
            <w:pPr>
              <w:pStyle w:val="Compact"/>
              <w:jc w:val="left"/>
            </w:pPr>
            <w:r>
              <w:t xml:space="preserve">Downstream - Use Phase (Category 11)</w:t>
            </w:r>
          </w:p>
        </w:tc>
        <w:tc>
          <w:tcPr/>
          <w:p>
            <w:pPr>
              <w:pStyle w:val="Compact"/>
              <w:jc w:val="left"/>
            </w:pPr>
            <w:r>
              <w:t xml:space="preserve">31.50</w:t>
            </w:r>
          </w:p>
        </w:tc>
        <w:tc>
          <w:tcPr/>
          <w:p>
            <w:pPr>
              <w:pStyle w:val="Compact"/>
              <w:jc w:val="left"/>
            </w:pPr>
            <w:r>
              <w:t xml:space="preserve">66.27%</w:t>
            </w:r>
          </w:p>
        </w:tc>
      </w:tr>
      <w:tr>
        <w:tc>
          <w:tcPr/>
          <w:p>
            <w:pPr>
              <w:pStyle w:val="Compact"/>
              <w:jc w:val="left"/>
            </w:pPr>
            <w:r>
              <w:t xml:space="preserve">Scope 3</w:t>
            </w:r>
          </w:p>
        </w:tc>
        <w:tc>
          <w:tcPr/>
          <w:p>
            <w:pPr>
              <w:pStyle w:val="Compact"/>
              <w:jc w:val="left"/>
            </w:pPr>
            <w:r>
              <w:t xml:space="preserve">Downstream - End-of-Life (Category 12)</w:t>
            </w:r>
          </w:p>
        </w:tc>
        <w:tc>
          <w:tcPr/>
          <w:p>
            <w:pPr>
              <w:pStyle w:val="Compact"/>
              <w:jc w:val="left"/>
            </w:pPr>
            <w:r>
              <w:t xml:space="preserve">0.43</w:t>
            </w:r>
          </w:p>
        </w:tc>
        <w:tc>
          <w:tcPr/>
          <w:p>
            <w:pPr>
              <w:pStyle w:val="Compact"/>
              <w:jc w:val="left"/>
            </w:pPr>
            <w:r>
              <w:t xml:space="preserve">0.90%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47.53 kg CO2e/unit</w:t>
            </w:r>
          </w:p>
        </w:tc>
        <w:tc>
          <w:tcPr/>
          <w:p>
            <w:pPr>
              <w:pStyle w:val="Compact"/>
              <w:jc w:val="left"/>
            </w:pPr>
            <w:r>
              <w:rPr>
                <w:bCs/>
                <w:b/>
              </w:rPr>
              <w:t xml:space="preserve">100.00%</w:t>
            </w:r>
          </w:p>
        </w:tc>
      </w:tr>
    </w:tbl>
    <w:p>
      <w:pPr>
        <w:pStyle w:val="BodyText"/>
      </w:pPr>
      <w:r>
        <w:rPr>
          <w:bCs/>
          <w:b/>
        </w:rPr>
        <w:t xml:space="preserve">Scope 3 Coverage:</w:t>
      </w:r>
      <w:r>
        <w:t xml:space="preserve"> </w:t>
      </w:r>
      <w:r>
        <w:t xml:space="preserve">Total Scope 3 emissions = 9.20 + 0.14 + 5.00 + 31.50 + 0.43 = 46.27 kg CO2e.</w:t>
      </w:r>
      <w:r>
        <w:t xml:space="preserve"> </w:t>
      </w:r>
      <w:r>
        <w:t xml:space="preserve">Total PCF = 47.53 kg CO2e.</w:t>
      </w:r>
      <w:r>
        <w:t xml:space="preserve"> </w:t>
      </w:r>
      <w:r>
        <w:t xml:space="preserve">Scope 3 coverage = (46.27 / 47.53) * 100% = 97.35%. This exceeds the 95% coverage requirement set by 2026 GHG Protocol guidelines for Scope 3 reporting.</w:t>
      </w:r>
    </w:p>
    <w:p>
      <w:r>
        <w:pict>
          <v:rect style="width:0;height:1.5pt" o:hralign="center" o:hrstd="t" o:hr="t"/>
        </w:pict>
      </w:r>
    </w:p>
    <w:bookmarkEnd w:id="39"/>
    <w:bookmarkEnd w:id="40"/>
    <w:bookmarkStart w:id="43" w:name="review-report---hotspots-and-reliability"/>
    <w:p>
      <w:pPr>
        <w:pStyle w:val="Heading2"/>
      </w:pPr>
      <w:r>
        <w:t xml:space="preserve">5. Review &amp; Report - Hotspots and Reliability</w:t>
      </w:r>
    </w:p>
    <w:bookmarkStart w:id="41" w:name="emission-hotspots"/>
    <w:p>
      <w:pPr>
        <w:pStyle w:val="Heading3"/>
      </w:pPr>
      <w:r>
        <w:t xml:space="preserve">5.1. Emission Hotspots</w:t>
      </w:r>
    </w:p>
    <w:p>
      <w:pPr>
        <w:pStyle w:val="FirstParagraph"/>
      </w:pPr>
      <w:r>
        <w:t xml:space="preserve">The analysis reveals the following major emission hotspots for xlemjxgtno (Product Z):</w:t>
      </w:r>
    </w:p>
    <w:p>
      <w:pPr>
        <w:numPr>
          <w:ilvl w:val="0"/>
          <w:numId w:val="1013"/>
        </w:numPr>
        <w:pStyle w:val="Compact"/>
      </w:pPr>
      <w:r>
        <w:rPr>
          <w:bCs/>
          <w:b/>
        </w:rPr>
        <w:t xml:space="preserve">Use Phase (Category 11):</w:t>
      </w:r>
      <w:r>
        <w:t xml:space="preserve"> </w:t>
      </w:r>
      <w:r>
        <w:t xml:space="preserve">Constitutes the largest portion at 66.27% of the total PCF, primarily due to ongoing electricity consumption over the product\'s 7-year lifespan. This highlights the critical importance of energy efficiency during product operation and the use of renewable energy sources by end-users.</w:t>
      </w:r>
    </w:p>
    <w:p>
      <w:pPr>
        <w:numPr>
          <w:ilvl w:val="0"/>
          <w:numId w:val="1013"/>
        </w:numPr>
        <w:pStyle w:val="Compact"/>
      </w:pPr>
      <w:r>
        <w:rPr>
          <w:bCs/>
          <w:b/>
        </w:rPr>
        <w:t xml:space="preserve">Raw Materials (Category 1):</w:t>
      </w:r>
      <w:r>
        <w:t xml:space="preserve"> </w:t>
      </w:r>
      <w:r>
        <w:t xml:space="preserve">Represents the second largest hotspot at 19.36%, emphasizing the embedded emissions in materials like aluminum, plastics, and the lithium-ion battery. Efforts to reduce this impact should focus on sustainable sourcing, material light-weighting, and increasing recycled content.</w:t>
      </w:r>
    </w:p>
    <w:p>
      <w:pPr>
        <w:numPr>
          <w:ilvl w:val="0"/>
          <w:numId w:val="1013"/>
        </w:numPr>
        <w:pStyle w:val="Compact"/>
      </w:pPr>
      <w:r>
        <w:rPr>
          <w:bCs/>
          <w:b/>
        </w:rPr>
        <w:t xml:space="preserve">Last-Mile Delivery (Category 9):</w:t>
      </w:r>
      <w:r>
        <w:t xml:space="preserve"> </w:t>
      </w:r>
      <w:r>
        <w:t xml:space="preserve">At 10.52%, this stage indicates that even with electric delivery vans, the distribution network contributes significantly. Optimization of logistics, local warehousing, and further decarbonization of transport fleets are key strategies.</w:t>
      </w:r>
    </w:p>
    <w:p>
      <w:pPr>
        <w:numPr>
          <w:ilvl w:val="0"/>
          <w:numId w:val="1013"/>
        </w:numPr>
        <w:pStyle w:val="Compact"/>
      </w:pPr>
      <w:r>
        <w:rPr>
          <w:bCs/>
          <w:b/>
        </w:rPr>
        <w:t xml:space="preserve">Manufacturing (Scope 2):</w:t>
      </w:r>
      <w:r>
        <w:t xml:space="preserve"> </w:t>
      </w:r>
      <w:r>
        <w:t xml:space="preserve">Though reduced to 2.65% by high renewable energy usage at the factory, this still represents an area where further shifts to 100% renewable energy or energy efficiency improvements can yield benefits.</w:t>
      </w:r>
    </w:p>
    <w:bookmarkEnd w:id="41"/>
    <w:bookmarkStart w:id="42" w:name="reliability-and-data-quality"/>
    <w:p>
      <w:pPr>
        <w:pStyle w:val="Heading3"/>
      </w:pPr>
      <w:r>
        <w:t xml:space="preserve">5.2. Reliability and Data Quality</w:t>
      </w:r>
    </w:p>
    <w:p>
      <w:pPr>
        <w:pStyle w:val="FirstParagraph"/>
      </w:pPr>
      <w:r>
        <w:t xml:space="preserve">This report is based on a combination of provided parameters (represented by assumed values for placeholders) and industry-standard emission factors. While efforts were made to use plausible and representative data, the accuracy is contingent upon the quality and specificity of the input parameters. For future assessments, collecting more primary data from specific suppliers for raw material production and transportation, as well as actual energy mixes for user regions, would further enhance the precision and reliability of the PCF. The application of the 2026 LSR Standard helps ensure that potential land-use impacts are considered, though specific quantification here would require detailed land-use change data for raw material origins.</w:t>
      </w:r>
    </w:p>
    <w:p>
      <w:pPr>
        <w:pStyle w:val="BodyText"/>
      </w:pPr>
      <w:r>
        <w:rPr>
          <w:bCs/>
          <w:b/>
        </w:rPr>
        <w:t xml:space="preserve">Senior Sustainability Consultant:</w:t>
      </w:r>
      <w:r>
        <w:t xml:space="preserve"> </w:t>
      </w:r>
      <w:r>
        <w:t xml:space="preserve">hiqqzfkzxg (Dr. Emily Sustainability)</w:t>
      </w:r>
    </w:p>
    <w:p>
      <w:pPr>
        <w:pStyle w:val="BodyText"/>
      </w:pPr>
      <w:r>
        <w:rPr>
          <w:bCs/>
          <w:b/>
        </w:rPr>
        <w:t xml:space="preserve">Company:</w:t>
      </w:r>
      <w:r>
        <w:t xml:space="preserve"> </w:t>
      </w:r>
      <w:r>
        <w:t xml:space="preserve">ptsmjrlomu (EcoSolutions Inc.)</w:t>
      </w:r>
    </w:p>
    <w:p>
      <w:pPr>
        <w:pStyle w:val="BodyText"/>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xlemjxgtno</dc:title>
  <dc:creator/>
  <dc:description>High-detail Product Carbon Footprint (PCF) analysis report for xlemjxgtno, conducted by hiqqzfkzxg for ptsmjrlomu, adhering to GHG Protocol and 2026 LSR Update requirements.</dc:description>
  <dc:language>en</dc:language>
  <cp:keywords/>
  <dcterms:created xsi:type="dcterms:W3CDTF">2026-07-15T08:15:55Z</dcterms:created>
  <dcterms:modified xsi:type="dcterms:W3CDTF">2026-07-15T08:15:55Z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