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xklkpiltqt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xklkpiltqt</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mslljxtruo</w:t>
      </w:r>
    </w:p>
    <w:p>
      <w:pPr>
        <w:pStyle w:val="BodyText"/>
      </w:pPr>
      <w:r>
        <w:rPr>
          <w:bCs/>
          <w:b/>
        </w:rPr>
        <w:t xml:space="preserve">Senior Sustainability Consultant:</w:t>
      </w:r>
      <w:r>
        <w:t xml:space="preserve"> </w:t>
      </w:r>
      <w:r>
        <w:t xml:space="preserve">lnofjtehqk</w:t>
      </w:r>
    </w:p>
    <w:p>
      <w:pPr>
        <w:pStyle w:val="BodyText"/>
      </w:pPr>
      <w:r>
        <w:t xml:space="preserve">Disclaimer: This report is generated based on available data and industry standards. While every effort has been made to ensure accuracy, the results are indicative and subject to the quality and completeness of underlying data.</w:t>
      </w:r>
    </w:p>
    <w:bookmarkEnd w:id="20"/>
    <w:bookmarkStart w:id="51" w:name="Xc8c2fe22f35573c76549d79142a4fabe947e5a8"/>
    <w:p>
      <w:pPr>
        <w:pStyle w:val="Heading1"/>
      </w:pPr>
      <w:r>
        <w:t xml:space="preserve">Product Carbon Footprint Analysis Report: xklkpiltqt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xklkpiltqt, conducted for mslljxtruo by Senior Sustainability Consultant lnofjtehqk. The analysis adheres strictly to the Greenhouse Gas (GHG) Protocol, including the recent 2026 Land Sector and Removals (LSR) Standard update, and aims for at least 95% coverage for Scope 3 emissions. The total carbon footprint of xklkpiltqt, from a factory-gate system boundary perspective with considerations for use and end-of-life, is systematically calculated across its lifecycle stages. This detailed assessment provides mslljxtruo with critical insights into the environmental impact of their product, identifying key emission hotspots and informing strategies for decarbonization.</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xklkpiltqt 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activities throughout the product\'s lifecycle.</w:t>
      </w:r>
    </w:p>
    <w:p>
      <w:pPr>
        <w:numPr>
          <w:ilvl w:val="0"/>
          <w:numId w:val="1001"/>
        </w:numPr>
        <w:pStyle w:val="Compact"/>
      </w:pPr>
      <w:r>
        <w:rPr>
          <w:bCs/>
          <w:b/>
        </w:rPr>
        <w:t xml:space="preserve">Collect Data (Primary/Secondary Data Points):</w:t>
      </w:r>
      <w:r>
        <w:t xml:space="preserve"> </w:t>
      </w:r>
      <w:r>
        <w:t xml:space="preserve">Gather specific data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2" w:name="adherence-to-ghg-protocol-standards"/>
    <w:p>
      <w:pPr>
        <w:pStyle w:val="Heading3"/>
      </w:pPr>
      <w:r>
        <w:t xml:space="preserve">2.1. Adherence to GHG Protocol Standards</w:t>
      </w:r>
    </w:p>
    <w:p>
      <w:pPr>
        <w:numPr>
          <w:ilvl w:val="0"/>
          <w:numId w:val="1002"/>
        </w:numPr>
        <w:pStyle w:val="Compact"/>
      </w:pPr>
      <w:r>
        <w:rPr>
          <w:bCs/>
          <w:b/>
        </w:rPr>
        <w:t xml:space="preserve">Categorization:</w:t>
      </w:r>
      <w:r>
        <w:t xml:space="preserve"> </w:t>
      </w:r>
      <w:r>
        <w:t xml:space="preserve">Emissions are categorized into Scope 1 (direct emissions from owned or controlled sources), Scope 2 (indirect emissions from purchased electricity, heat, or steam), and Scope 3 (all other indirect emissions across the value chain).</w:t>
      </w:r>
    </w:p>
    <w:p>
      <w:pPr>
        <w:numPr>
          <w:ilvl w:val="0"/>
          <w:numId w:val="1002"/>
        </w:numPr>
        <w:pStyle w:val="Compact"/>
      </w:pPr>
      <w:r>
        <w:rPr>
          <w:bCs/>
          <w:b/>
        </w:rPr>
        <w:t xml:space="preserve">2026 LSR Update:</w:t>
      </w:r>
      <w:r>
        <w:t xml:space="preserve"> </w:t>
      </w:r>
      <w:r>
        <w:t xml:space="preserve">The Land Sector and Removals (LSR) Standard, effective January 1, 2027, has been conceptually applied to account for land use and carbon removals, particularly relevant for biogenic products or value chain activities involving land management. This standard provides accounting requirements for land management and CO₂ removals with storage. While the current version does not apply to forestry, it covers land management and CO₂ removal technologies.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encompassing all upstream and downstream value chain emissions as per 2026 requirements, recognizing that Scope 3 often constitutes the majority of a company\'s carbon footprint.</w:t>
      </w:r>
    </w:p>
    <w:p>
      <w:r>
        <w:pict>
          <v:rect style="width:0;height:1.5pt" o:hralign="center" o:hrstd="t" o:hr="t"/>
        </w:pict>
      </w:r>
    </w:p>
    <w:bookmarkEnd w:id="22"/>
    <w:bookmarkEnd w:id="23"/>
    <w:bookmarkStart w:id="28" w:name="scope-definition"/>
    <w:p>
      <w:pPr>
        <w:pStyle w:val="Heading2"/>
      </w:pPr>
      <w:r>
        <w:t xml:space="preserve">3. Scope Definition</w:t>
      </w:r>
    </w:p>
    <w:bookmarkStart w:id="24"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xklkpiltqt</w:t>
      </w:r>
      <w:r>
        <w:t xml:space="preserve">.</w:t>
      </w:r>
    </w:p>
    <w:bookmarkEnd w:id="24"/>
    <w:bookmarkStart w:id="25" w:name="system-boundary"/>
    <w:p>
      <w:pPr>
        <w:pStyle w:val="Heading3"/>
      </w:pPr>
      <w:r>
        <w:t xml:space="preserve">3.2. System Boundary</w:t>
      </w:r>
    </w:p>
    <w:p>
      <w:pPr>
        <w:pStyle w:val="FirstParagraph"/>
      </w:pPr>
      <w:r>
        <w:t xml:space="preserve">The system boundary is set as</w:t>
      </w:r>
      <w:r>
        <w:t xml:space="preserve"> </w:t>
      </w:r>
      <w:r>
        <w:rPr>
          <w:bCs/>
          <w:b/>
        </w:rPr>
        <w:t xml:space="preserve">"factory_gate"</w:t>
      </w:r>
      <w:r>
        <w:t xml:space="preserve">. This includes all processes from raw material acquisition, through manufacturing, up to the point the finished product leaves the factory. However, per user requirements, key downstream elements like the use phase and end-of-life have also been analyzed to provide a more comprehensive view of the product\'s total lifecycle impact.</w:t>
      </w:r>
    </w:p>
    <w:bookmarkEnd w:id="25"/>
    <w:bookmarkStart w:id="26" w:name="geographic-scope"/>
    <w:p>
      <w:pPr>
        <w:pStyle w:val="Heading3"/>
      </w:pPr>
      <w:r>
        <w:t xml:space="preserve">3.3.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distribution to market)</w:t>
      </w:r>
    </w:p>
    <w:bookmarkEnd w:id="26"/>
    <w:bookmarkStart w:id="27" w:name="allocation"/>
    <w:p>
      <w:pPr>
        <w:pStyle w:val="Heading3"/>
      </w:pPr>
      <w:r>
        <w:t xml:space="preserve">3.4. Allocation</w:t>
      </w:r>
    </w:p>
    <w:p>
      <w:pPr>
        <w:pStyle w:val="FirstParagraph"/>
      </w:pPr>
      <w:r>
        <w:t xml:space="preserve">Where co-products or by-products exist, allocation of environmental burdens is performed based on scientifically justifiable methods, primarily mass or economic allocation, in accordance with GHG Protocol guidelines.</w:t>
      </w:r>
    </w:p>
    <w:p>
      <w:r>
        <w:pict>
          <v:rect style="width:0;height:1.5pt" o:hralign="center" o:hrstd="t" o:hr="t"/>
        </w:pict>
      </w:r>
    </w:p>
    <w:bookmarkEnd w:id="27"/>
    <w:bookmarkEnd w:id="28"/>
    <w:bookmarkStart w:id="35" w:name="X2bf58de29a7a901ba932b9a6a779f7f86e80a1b"/>
    <w:p>
      <w:pPr>
        <w:pStyle w:val="Heading2"/>
      </w:pPr>
      <w:r>
        <w:t xml:space="preserve">4. Lifecycle Mapping and Data Collection (LCI Inventory)</w:t>
      </w:r>
    </w:p>
    <w:p>
      <w:pPr>
        <w:pStyle w:val="FirstParagraph"/>
      </w:pPr>
      <w:r>
        <w:t xml:space="preserve">This section details the inputs and outputs for each stage of the product lifecycle, utilizing the specific data provided. Where specific numerical data was not available for placeholders (e.g.,</w:t>
      </w:r>
      <w:r>
        <w:t xml:space="preserve"> </w:t>
      </w:r>
      <w:r>
        <w:rPr>
          <w:rStyle w:val="VerbatimChar"/>
        </w:rPr>
        <w:t xml:space="preserve">pohgokwm</w:t>
      </w:r>
      <w:r>
        <w:t xml:space="preserve">), illustrative example values are used, explicitly noted, and reference industry-standard emission factors from databases like Ecoinvent and DEFRA.</w:t>
      </w:r>
    </w:p>
    <w:bookmarkStart w:id="30" w:name="X7a712bf3559fc4de84abf12a1a5384b31e59036"/>
    <w:p>
      <w:pPr>
        <w:pStyle w:val="Heading3"/>
      </w:pPr>
      <w:r>
        <w:t xml:space="preserve">4.1. Materials Acquisition &amp; Pre-processing (Upstream - Scope 3, Category 1: Purchased Goods and Services)</w:t>
      </w:r>
    </w:p>
    <w:p>
      <w:pPr>
        <w:pStyle w:val="FirstParagraph"/>
      </w:pPr>
      <w:r>
        <w:t xml:space="preserve">The Detailed Bill of Materials (BOM) for xklkpiltqt, provided as</w:t>
      </w:r>
      <w:r>
        <w:t xml:space="preserve"> </w:t>
      </w:r>
      <w:r>
        <w:rPr>
          <w:rStyle w:val="VerbatimChar"/>
        </w:rPr>
        <w:t xml:space="preserve">pohgokwm</w:t>
      </w:r>
      <w:r>
        <w:t xml:space="preserve">, is used to calculate the material impact. The following table provides an illustrative breakdown based on common product components and representative emission factors.</w:t>
      </w:r>
    </w:p>
    <w:bookmarkStart w:id="29" w:name="Xfa0e8c4dbda38adbedea62e5317107fc8ab06cd"/>
    <w:p>
      <w:pPr>
        <w:pStyle w:val="Heading4"/>
      </w:pPr>
      <w:r>
        <w:t xml:space="preserve">Detailed Bill of Materials (Illustrative Example for `pohgokwm`)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 Fabrication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Metal Screws (Steel)</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0.13</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Adhesives/Coatings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8.32 kg CO2e</w:t>
            </w:r>
          </w:p>
        </w:tc>
      </w:tr>
    </w:tbl>
    <w:p>
      <w:pPr>
        <w:pStyle w:val="BodyText"/>
      </w:pPr>
      <w:r>
        <w:rPr>
          <w:iCs/>
          <w:i/>
        </w:rPr>
        <w:t xml:space="preserve">Note: Emission factors are illustrative, referencing typical values from Ecoinvent-like databases for cradle-to-gate impacts of materials. The "Total Carbon" is calculated as Qty * Emission Factor.</w:t>
      </w:r>
    </w:p>
    <w:bookmarkEnd w:id="29"/>
    <w:bookmarkEnd w:id="30"/>
    <w:bookmarkStart w:id="31" w:name="X49a4fa07f8048a287aec1182e15f8732a34b739"/>
    <w:p>
      <w:pPr>
        <w:pStyle w:val="Heading3"/>
      </w:pPr>
      <w:r>
        <w:t xml:space="preserve">4.2. Manufacturing &amp; Production (On-site - Scope 1 &amp; 2, partially Scope 3)</w:t>
      </w:r>
    </w:p>
    <w:p>
      <w:pPr>
        <w:pStyle w:val="FirstParagraph"/>
      </w:pPr>
      <w:r>
        <w:t xml:space="preserve">The production of xklkpiltqt takes place in China. Energy consumption for the production phase is customized as per the provided parameters:</w:t>
      </w:r>
    </w:p>
    <w:p>
      <w:pPr>
        <w:numPr>
          <w:ilvl w:val="0"/>
          <w:numId w:val="1004"/>
        </w:numPr>
        <w:pStyle w:val="Compact"/>
      </w:pPr>
      <w:r>
        <w:rPr>
          <w:bCs/>
          <w:b/>
        </w:rPr>
        <w:t xml:space="preserve">Renewable Energy Usage (`lyoiltywij`):</w:t>
      </w:r>
      <w:r>
        <w:t xml:space="preserve"> </w:t>
      </w:r>
      <w:r>
        <w:t xml:space="preserve">50% Renewable Electricity (Illustrative example for `lyoiltywij`). This implies that 50% of purchased electricity emissions are zero (or very low), while the remaining 50% are based on the regional grid mix.</w:t>
      </w:r>
    </w:p>
    <w:p>
      <w:pPr>
        <w:numPr>
          <w:ilvl w:val="0"/>
          <w:numId w:val="1004"/>
        </w:numPr>
        <w:pStyle w:val="Compact"/>
      </w:pPr>
      <w:r>
        <w:rPr>
          <w:bCs/>
          <w:b/>
        </w:rPr>
        <w:t xml:space="preserve">Energy Intensity (`tojfijierk`):</w:t>
      </w:r>
      <w:r>
        <w:t xml:space="preserve"> </w:t>
      </w:r>
      <w:r>
        <w:t xml:space="preserve">15 kWh/unit (Illustrative example for `tojfijierk`).</w:t>
      </w:r>
    </w:p>
    <w:p>
      <w:pPr>
        <w:pStyle w:val="FirstParagraph"/>
      </w:pPr>
      <w:r>
        <w:t xml:space="preserve">For China, the average grid electricity emission factor is approximately 0.581 - 0.6205 kg CO2e/kWh. For this analysis, an average of 0.60 kg CO2e/kWh will be used for grid electricity in China.</w:t>
      </w:r>
    </w:p>
    <w:bookmarkEnd w:id="31"/>
    <w:bookmarkStart w:id="32" w:name="X0eb5d8a571fed9383e68c0808ff58b19695bc9d"/>
    <w:p>
      <w:pPr>
        <w:pStyle w:val="Heading3"/>
      </w:pPr>
      <w:r>
        <w:t xml:space="preserve">4.3. Transportation &amp; Distribution (Upstream &amp; Downstream - Scope 3, Category 4 &amp; 9)</w:t>
      </w:r>
    </w:p>
    <w:p>
      <w:pPr>
        <w:pStyle w:val="FirstParagraph"/>
      </w:pPr>
      <w:r>
        <w:t xml:space="preserve">Logistics data incorporates the specific transport mode, distance, and last-mile delivery channel.</w:t>
      </w:r>
    </w:p>
    <w:p>
      <w:pPr>
        <w:numPr>
          <w:ilvl w:val="0"/>
          <w:numId w:val="1005"/>
        </w:numPr>
        <w:pStyle w:val="Compact"/>
      </w:pPr>
      <w:r>
        <w:rPr>
          <w:bCs/>
          <w:b/>
        </w:rPr>
        <w:t xml:space="preserve">Transport Mode (`Select Mode`):</w:t>
      </w:r>
      <w:r>
        <w:t xml:space="preserve"> </w:t>
      </w:r>
      <w:r>
        <w:t xml:space="preserve">Sea Freight (China to Europe) followed by Road Freight (Europe to warehouse) and Road Freight (Last-Mile).</w:t>
      </w:r>
    </w:p>
    <w:p>
      <w:pPr>
        <w:numPr>
          <w:ilvl w:val="0"/>
          <w:numId w:val="1005"/>
        </w:numPr>
        <w:pStyle w:val="Compact"/>
      </w:pPr>
      <w:r>
        <w:rPr>
          <w:bCs/>
          <w:b/>
        </w:rPr>
        <w:t xml:space="preserve">Transport Distance (`rhlvkyvqxs`):</w:t>
      </w:r>
    </w:p>
    <w:p>
      <w:pPr>
        <w:numPr>
          <w:ilvl w:val="1"/>
          <w:numId w:val="1006"/>
        </w:numPr>
        <w:pStyle w:val="Compact"/>
      </w:pPr>
      <w:r>
        <w:t xml:space="preserve">Sea Freight: 20,000 km (Illustrative example for `rhlvkyvqxs`)</w:t>
      </w:r>
    </w:p>
    <w:p>
      <w:pPr>
        <w:numPr>
          <w:ilvl w:val="1"/>
          <w:numId w:val="1006"/>
        </w:numPr>
        <w:pStyle w:val="Compact"/>
      </w:pPr>
      <w:r>
        <w:t xml:space="preserve">Road Freight (Long Haul within Europe): 1,500 km (Illustrative example for `rhlvkyvqxs`)</w:t>
      </w:r>
    </w:p>
    <w:p>
      <w:pPr>
        <w:numPr>
          <w:ilvl w:val="1"/>
          <w:numId w:val="1006"/>
        </w:numPr>
        <w:pStyle w:val="Compact"/>
      </w:pPr>
      <w:r>
        <w:t xml:space="preserve">Last-Mile Delivery: 100 km (Illustrative example for `rhlvkyvqxs`)</w:t>
      </w:r>
    </w:p>
    <w:p>
      <w:pPr>
        <w:numPr>
          <w:ilvl w:val="0"/>
          <w:numId w:val="1005"/>
        </w:numPr>
        <w:pStyle w:val="Compact"/>
      </w:pPr>
      <w:r>
        <w:rPr>
          <w:bCs/>
          <w:b/>
        </w:rPr>
        <w:t xml:space="preserve">Last-Mile Delivery Channel (`Delivery Type`):</w:t>
      </w:r>
      <w:r>
        <w:t xml:space="preserve"> </w:t>
      </w:r>
      <w:r>
        <w:t xml:space="preserve">Van/Light Commercial Vehicle (Illustrative example for `Delivery Type`).</w:t>
      </w:r>
    </w:p>
    <w:p>
      <w:pPr>
        <w:pStyle w:val="FirstParagraph"/>
      </w:pPr>
      <w:r>
        <w:t xml:space="preserve">Illustrative Emission Factors (from Ecoinvent/DEFRA and GLEC data):</w:t>
      </w:r>
    </w:p>
    <w:p>
      <w:pPr>
        <w:numPr>
          <w:ilvl w:val="0"/>
          <w:numId w:val="1007"/>
        </w:numPr>
        <w:pStyle w:val="Compact"/>
      </w:pPr>
      <w:r>
        <w:t xml:space="preserve">Sea Freight (Container Ship): ~0.0135 kg CO2e/TEU-km (or similar cargo unit). Assuming 1 TEU can hold 100 units of xklkpiltqt for calculation purposes.</w:t>
      </w:r>
    </w:p>
    <w:p>
      <w:pPr>
        <w:numPr>
          <w:ilvl w:val="0"/>
          <w:numId w:val="1007"/>
        </w:numPr>
        <w:pStyle w:val="Compact"/>
      </w:pPr>
      <w:r>
        <w:t xml:space="preserve">Road Freight (HGV &gt;20t, Europe): ~0.062 kg CO2e/tonne-km. Assuming product weight + packaging = 1 kg.</w:t>
      </w:r>
    </w:p>
    <w:p>
      <w:pPr>
        <w:numPr>
          <w:ilvl w:val="0"/>
          <w:numId w:val="1007"/>
        </w:numPr>
        <w:pStyle w:val="Compact"/>
      </w:pPr>
      <w:r>
        <w:t xml:space="preserve">Last-Mile (Light Commercial Vehicle, Europe): ~0.20 kg CO2e/km (assuming partial load for delivery).</w:t>
      </w:r>
    </w:p>
    <w:bookmarkEnd w:id="32"/>
    <w:bookmarkStart w:id="33" w:name="Xb6379c31f00345ccff01e90b5cbf0314a51933a"/>
    <w:p>
      <w:pPr>
        <w:pStyle w:val="Heading3"/>
      </w:pPr>
      <w:r>
        <w:t xml:space="preserve">4.4. Use Phase (Downstream - Scope 3, Category 11: Use of Sold Products)</w:t>
      </w:r>
    </w:p>
    <w:p>
      <w:pPr>
        <w:pStyle w:val="FirstParagraph"/>
      </w:pPr>
      <w:r>
        <w:t xml:space="preserve">The use phase calculation incorporates product durability and energy consumption:</w:t>
      </w:r>
    </w:p>
    <w:p>
      <w:pPr>
        <w:numPr>
          <w:ilvl w:val="0"/>
          <w:numId w:val="1008"/>
        </w:numPr>
        <w:pStyle w:val="Compact"/>
      </w:pPr>
      <w:r>
        <w:rPr>
          <w:bCs/>
          <w:b/>
        </w:rPr>
        <w:t xml:space="preserve">Product Lifespan (`vmgxxytzoj`):</w:t>
      </w:r>
      <w:r>
        <w:t xml:space="preserve"> </w:t>
      </w:r>
      <w:r>
        <w:t xml:space="preserve">5 years (Illustrative example for `vmgxxytzoj`).</w:t>
      </w:r>
    </w:p>
    <w:p>
      <w:pPr>
        <w:numPr>
          <w:ilvl w:val="0"/>
          <w:numId w:val="1008"/>
        </w:numPr>
        <w:pStyle w:val="Compact"/>
      </w:pPr>
      <w:r>
        <w:rPr>
          <w:bCs/>
          <w:b/>
        </w:rPr>
        <w:t xml:space="preserve">Energy Consumption in Use (`pllwjgmnps`):</w:t>
      </w:r>
      <w:r>
        <w:t xml:space="preserve"> </w:t>
      </w:r>
      <w:r>
        <w:t xml:space="preserve">5 kWh/year (Illustrative example for `pllwjgmnps`).</w:t>
      </w:r>
    </w:p>
    <w:p>
      <w:pPr>
        <w:pStyle w:val="FirstParagraph"/>
      </w:pPr>
      <w:r>
        <w:t xml:space="preserve">The geographical scope for the use phase is Europe. Average grid electricity emission factor for Europe is complex, but generally lower than China, averaging around 0.334 - 0.441 kg CO2e/kWh, with a decreasing trend. We will use an illustrative average of 0.35 kg CO2e/kWh for the European use phase.</w:t>
      </w:r>
    </w:p>
    <w:bookmarkEnd w:id="33"/>
    <w:bookmarkStart w:id="34" w:name="Xa1f54574913354626048d75090af8fdc181d8bd"/>
    <w:p>
      <w:pPr>
        <w:pStyle w:val="Heading3"/>
      </w:pPr>
      <w:r>
        <w:t xml:space="preserve">4.5. End-of-Life (EoL) Treatment (Downstream - Scope 3, Category 12: End-of-Life Treatment of Sold Products)</w:t>
      </w:r>
    </w:p>
    <w:p>
      <w:pPr>
        <w:pStyle w:val="FirstParagraph"/>
      </w:pPr>
      <w:r>
        <w:t xml:space="preserve">EoL scenarios incorporate recyclability and circular economy programs:</w:t>
      </w:r>
    </w:p>
    <w:p>
      <w:pPr>
        <w:numPr>
          <w:ilvl w:val="0"/>
          <w:numId w:val="1009"/>
        </w:numPr>
        <w:pStyle w:val="Compact"/>
      </w:pPr>
      <w:r>
        <w:rPr>
          <w:bCs/>
          <w:b/>
        </w:rPr>
        <w:t xml:space="preserve">Recyclability Percentage (`yoiugnrmep`):</w:t>
      </w:r>
      <w:r>
        <w:t xml:space="preserve"> </w:t>
      </w:r>
      <w:r>
        <w:t xml:space="preserve">70% (Illustrative example for `yoiugnrmep`).</w:t>
      </w:r>
    </w:p>
    <w:p>
      <w:pPr>
        <w:numPr>
          <w:ilvl w:val="0"/>
          <w:numId w:val="1009"/>
        </w:numPr>
        <w:pStyle w:val="Compact"/>
      </w:pPr>
      <w:r>
        <w:rPr>
          <w:bCs/>
          <w:b/>
        </w:rPr>
        <w:t xml:space="preserve">Circular/Take-back Programs (`fiwzrltlno`):</w:t>
      </w:r>
      <w:r>
        <w:t xml:space="preserve"> </w:t>
      </w:r>
      <w:r>
        <w:t xml:space="preserve">Product Take-back Scheme with Material Recovery (Illustrative example for `fiwzrltlno`).</w:t>
      </w:r>
    </w:p>
    <w:p>
      <w:pPr>
        <w:pStyle w:val="FirstParagraph"/>
      </w:pPr>
      <w:r>
        <w:t xml:space="preserve">For the 70% recyclable materials, a credit for avoided virgin material production can be applied, or the emissions for recycling processes are calculated. The remaining 30% is assumed to be incinerated or landfilled, incurring associated emissions. For this report, we will calculate the emissions for the non-recycled portion and acknowledge the potential for avoided emissions for the recycled portion.</w:t>
      </w:r>
    </w:p>
    <w:p>
      <w:r>
        <w:pict>
          <v:rect style="width:0;height:1.5pt" o:hralign="center" o:hrstd="t" o:hr="t"/>
        </w:pict>
      </w:r>
    </w:p>
    <w:bookmarkEnd w:id="34"/>
    <w:bookmarkEnd w:id="35"/>
    <w:bookmarkStart w:id="46" w:name="emissions-calculation"/>
    <w:p>
      <w:pPr>
        <w:pStyle w:val="Heading2"/>
      </w:pPr>
      <w:r>
        <w:t xml:space="preserve">5. Emissions Calculation</w:t>
      </w:r>
    </w:p>
    <w:p>
      <w:pPr>
        <w:pStyle w:val="FirstParagraph"/>
      </w:pPr>
      <w:r>
        <w:t xml:space="preserve">Emissions are calculated based on activity data multiplied by relevant emission factors. The results are categorized according to the GHG Protocol Scopes.</w:t>
      </w:r>
    </w:p>
    <w:bookmarkStart w:id="36" w:name="scope-1-direct-emissions"/>
    <w:p>
      <w:pPr>
        <w:pStyle w:val="Heading3"/>
      </w:pPr>
      <w:r>
        <w:t xml:space="preserve">5.1. Scope 1: Direct Emissions</w:t>
      </w:r>
    </w:p>
    <w:p>
      <w:pPr>
        <w:pStyle w:val="FirstParagraph"/>
      </w:pPr>
      <w:r>
        <w:t xml:space="preserve">Given the "factory_gate" system boundary and the nature of the product, direct emissions from sources owned or controlled by mslljxtruo at the production facility (e.g., on-site fuel combustion for heating or processes) are assumed to be negligible for a product-level PCF analysis unless specified. If there were direct emissions, they would be accounted for here. For this illustrative report, Scope 1 emissions are assumed to be 0 kg CO2e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On-site Fuel Combustion</w:t>
            </w:r>
          </w:p>
        </w:tc>
        <w:tc>
          <w:tcPr/>
          <w:p>
            <w:pPr>
              <w:pStyle w:val="Compact"/>
              <w:jc w:val="left"/>
            </w:pPr>
            <w:r>
              <w:t xml:space="preserve">0.0 units</w:t>
            </w:r>
          </w:p>
        </w:tc>
        <w:tc>
          <w:tcPr/>
          <w:p>
            <w:pPr>
              <w:pStyle w:val="Compact"/>
              <w:jc w:val="left"/>
            </w:pPr>
            <w:r>
              <w:t xml:space="preserve">N/A</w:t>
            </w:r>
          </w:p>
        </w:tc>
        <w:tc>
          <w:tcPr/>
          <w:p>
            <w:pPr>
              <w:pStyle w:val="Compact"/>
              <w:jc w:val="left"/>
            </w:pPr>
            <w:r>
              <w:t xml:space="preserve">0.00</w:t>
            </w:r>
          </w:p>
        </w:tc>
      </w:tr>
      <w:tr>
        <w:tc>
          <w:tcPr>
            <w:gridSpan w:val="3"/>
          </w:tcPr>
          <w:p>
            <w:pPr>
              <w:pStyle w:val="Compact"/>
              <w:jc w:val="right"/>
            </w:pPr>
            <w:r>
              <w:rPr>
                <w:bCs/>
                <w:b/>
              </w:rPr>
              <w:t xml:space="preserve">Total Scope 1 Emissions:</w:t>
            </w:r>
          </w:p>
        </w:tc>
        <w:tc>
          <w:tcPr/>
          <w:p>
            <w:pPr>
              <w:pStyle w:val="Compact"/>
              <w:jc w:val="left"/>
            </w:pPr>
            <w:r>
              <w:rPr>
                <w:bCs/>
                <w:b/>
              </w:rPr>
              <w:t xml:space="preserve">0.00 kg CO2e</w:t>
            </w:r>
          </w:p>
        </w:tc>
      </w:tr>
    </w:tbl>
    <w:bookmarkEnd w:id="36"/>
    <w:bookmarkStart w:id="37" w:name="X940f739cc6425d99b84e128f190b13e064c5cd0"/>
    <w:p>
      <w:pPr>
        <w:pStyle w:val="Heading3"/>
      </w:pPr>
      <w:r>
        <w:t xml:space="preserve">5.2. Scope 2: Indirect Emissions from Purchased Energy</w:t>
      </w:r>
    </w:p>
    <w:p>
      <w:pPr>
        <w:pStyle w:val="FirstParagraph"/>
      </w:pPr>
      <w:r>
        <w:t xml:space="preserve">These emissions result from the purchased electricity for manufacturing xklkpiltqt in China.</w:t>
      </w:r>
    </w:p>
    <w:p>
      <w:pPr>
        <w:numPr>
          <w:ilvl w:val="0"/>
          <w:numId w:val="1010"/>
        </w:numPr>
        <w:pStyle w:val="Compact"/>
      </w:pPr>
      <w:r>
        <w:t xml:space="preserve">Total Energy Intensity: 15 kWh/unit</w:t>
      </w:r>
    </w:p>
    <w:p>
      <w:pPr>
        <w:numPr>
          <w:ilvl w:val="0"/>
          <w:numId w:val="1010"/>
        </w:numPr>
        <w:pStyle w:val="Compact"/>
      </w:pPr>
      <w:r>
        <w:t xml:space="preserve">Renewable Energy Usage: 50%</w:t>
      </w:r>
    </w:p>
    <w:p>
      <w:pPr>
        <w:numPr>
          <w:ilvl w:val="0"/>
          <w:numId w:val="1010"/>
        </w:numPr>
        <w:pStyle w:val="Compact"/>
      </w:pPr>
      <w:r>
        <w:t xml:space="preserve">Grid Electricity (non-renewable) usage: 15 kWh * 50% = 7.5 kWh/unit</w:t>
      </w:r>
    </w:p>
    <w:p>
      <w:pPr>
        <w:numPr>
          <w:ilvl w:val="0"/>
          <w:numId w:val="1010"/>
        </w:numPr>
        <w:pStyle w:val="Compact"/>
      </w:pPr>
      <w:r>
        <w:t xml:space="preserve">China Grid Electricity Emission Factor: 0.60 kg CO2e/kWh</w:t>
      </w:r>
    </w:p>
    <w:p>
      <w:pPr>
        <w:pStyle w:val="FirstParagraph"/>
      </w:pPr>
      <w:r>
        <w:t xml:space="preserve">Calculation:</w:t>
      </w:r>
    </w:p>
    <w:p>
      <w:pPr>
        <w:pStyle w:val="BodyText"/>
      </w:pPr>
      <w:r>
        <w:t xml:space="preserve">Scope 2 Emissions = 7.5 kWh/unit * 0.60 kg CO2e/kWh = 4.50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Purchased Electricity (non-renewable portion)</w:t>
            </w:r>
          </w:p>
        </w:tc>
        <w:tc>
          <w:tcPr/>
          <w:p>
            <w:pPr>
              <w:pStyle w:val="Compact"/>
              <w:jc w:val="left"/>
            </w:pPr>
            <w:r>
              <w:t xml:space="preserve">7.5 kWh/unit</w:t>
            </w:r>
          </w:p>
        </w:tc>
        <w:tc>
          <w:tcPr/>
          <w:p>
            <w:pPr>
              <w:pStyle w:val="Compact"/>
              <w:jc w:val="left"/>
            </w:pPr>
            <w:r>
              <w:t xml:space="preserve">0.60</w:t>
            </w:r>
          </w:p>
        </w:tc>
        <w:tc>
          <w:tcPr/>
          <w:p>
            <w:pPr>
              <w:pStyle w:val="Compact"/>
              <w:jc w:val="left"/>
            </w:pPr>
            <w:r>
              <w:t xml:space="preserve">4.50</w:t>
            </w:r>
          </w:p>
        </w:tc>
      </w:tr>
      <w:tr>
        <w:tc>
          <w:tcPr>
            <w:gridSpan w:val="3"/>
          </w:tcPr>
          <w:p>
            <w:pPr>
              <w:pStyle w:val="Compact"/>
              <w:jc w:val="right"/>
            </w:pPr>
            <w:r>
              <w:rPr>
                <w:bCs/>
                <w:b/>
              </w:rPr>
              <w:t xml:space="preserve">Total Scope 2 Emissions:</w:t>
            </w:r>
          </w:p>
        </w:tc>
        <w:tc>
          <w:tcPr/>
          <w:p>
            <w:pPr>
              <w:pStyle w:val="Compact"/>
              <w:jc w:val="left"/>
            </w:pPr>
            <w:r>
              <w:rPr>
                <w:bCs/>
                <w:b/>
              </w:rPr>
              <w:t xml:space="preserve">4.50 kg CO2e</w:t>
            </w:r>
          </w:p>
        </w:tc>
      </w:tr>
    </w:tbl>
    <w:bookmarkEnd w:id="37"/>
    <w:bookmarkStart w:id="43" w:name="Xd1c2b652bc5876514f180a21f002993b8de8e83"/>
    <w:p>
      <w:pPr>
        <w:pStyle w:val="Heading3"/>
      </w:pPr>
      <w:r>
        <w:t xml:space="preserve">5.3. Scope 3: Other Indirect Emissions (Value Chain)</w:t>
      </w:r>
    </w:p>
    <w:p>
      <w:pPr>
        <w:pStyle w:val="FirstParagraph"/>
      </w:pPr>
      <w:r>
        <w:t xml:space="preserve">Scope 3 emissions constitute the majority of the product\'s footprint and are calculated across various value chain activities.</w:t>
      </w:r>
    </w:p>
    <w:bookmarkStart w:id="38" w:name="Xab9729a0caae076ca89f2f71668734f92723cf2"/>
    <w:p>
      <w:pPr>
        <w:pStyle w:val="Heading4"/>
      </w:pPr>
      <w:r>
        <w:t xml:space="preserve">5.3.1. Category 1: Purchased Goods and Services (Materials)</w:t>
      </w:r>
    </w:p>
    <w:p>
      <w:pPr>
        <w:pStyle w:val="FirstParagraph"/>
      </w:pPr>
      <w:r>
        <w:t xml:space="preserve">Based on the illustrative BOM analysis:</w:t>
      </w:r>
    </w:p>
    <w:p>
      <w:pPr>
        <w:pStyle w:val="BodyText"/>
      </w:pPr>
      <w:r>
        <w:t xml:space="preserve">Total Material Carbon Impact: 8.32 kg CO2e</w:t>
      </w:r>
    </w:p>
    <w:bookmarkEnd w:id="38"/>
    <w:bookmarkStart w:id="39" w:name="Xcf3851b1e38aaf700f145fe407218c5e8846bbc"/>
    <w:p>
      <w:pPr>
        <w:pStyle w:val="Heading4"/>
      </w:pPr>
      <w:r>
        <w:t xml:space="preserve">5.3.2. Category 4 &amp; 9: Transportation and Distribution</w:t>
      </w:r>
    </w:p>
    <w:p>
      <w:pPr>
        <w:numPr>
          <w:ilvl w:val="0"/>
          <w:numId w:val="1011"/>
        </w:numPr>
        <w:pStyle w:val="Compact"/>
      </w:pPr>
      <w:r>
        <w:rPr>
          <w:bCs/>
          <w:b/>
        </w:rPr>
        <w:t xml:space="preserve">Sea Freight (China to Europe):</w:t>
      </w:r>
    </w:p>
    <w:p>
      <w:pPr>
        <w:numPr>
          <w:ilvl w:val="1"/>
          <w:numId w:val="1012"/>
        </w:numPr>
        <w:pStyle w:val="Compact"/>
      </w:pPr>
      <w:r>
        <w:t xml:space="preserve">Distance: 20,000 km</w:t>
      </w:r>
    </w:p>
    <w:p>
      <w:pPr>
        <w:numPr>
          <w:ilvl w:val="1"/>
          <w:numId w:val="1012"/>
        </w:numPr>
        <w:pStyle w:val="Compact"/>
      </w:pPr>
      <w:r>
        <w:t xml:space="preserve">Emission Factor: 0.0135 kg CO2e/TEU-km</w:t>
      </w:r>
    </w:p>
    <w:p>
      <w:pPr>
        <w:numPr>
          <w:ilvl w:val="1"/>
          <w:numId w:val="1012"/>
        </w:numPr>
        <w:pStyle w:val="Compact"/>
      </w:pPr>
      <w:r>
        <w:t xml:space="preserve">Assumed 100 units per TEU (1 unit = 0.01 TEU for calculation)</w:t>
      </w:r>
    </w:p>
    <w:p>
      <w:pPr>
        <w:numPr>
          <w:ilvl w:val="1"/>
          <w:numId w:val="1012"/>
        </w:numPr>
        <w:pStyle w:val="Compact"/>
      </w:pPr>
      <w:r>
        <w:t xml:space="preserve">Emissions: 20,000 km * 0.01 TEU/unit * 0.0135 kg CO2e/TEU-km = 2.70 kg CO2e/unit</w:t>
      </w:r>
    </w:p>
    <w:p>
      <w:pPr>
        <w:numPr>
          <w:ilvl w:val="0"/>
          <w:numId w:val="1011"/>
        </w:numPr>
        <w:pStyle w:val="Compact"/>
      </w:pPr>
      <w:r>
        <w:rPr>
          <w:bCs/>
          <w:b/>
        </w:rPr>
        <w:t xml:space="preserve">Road Freight (Europe Long Haul):</w:t>
      </w:r>
    </w:p>
    <w:p>
      <w:pPr>
        <w:numPr>
          <w:ilvl w:val="1"/>
          <w:numId w:val="1013"/>
        </w:numPr>
        <w:pStyle w:val="Compact"/>
      </w:pPr>
      <w:r>
        <w:t xml:space="preserve">Distance: 1,500 km</w:t>
      </w:r>
    </w:p>
    <w:p>
      <w:pPr>
        <w:numPr>
          <w:ilvl w:val="1"/>
          <w:numId w:val="1013"/>
        </w:numPr>
        <w:pStyle w:val="Compact"/>
      </w:pPr>
      <w:r>
        <w:t xml:space="preserve">Product Weight: 1 kg (unit + packaging)</w:t>
      </w:r>
    </w:p>
    <w:p>
      <w:pPr>
        <w:numPr>
          <w:ilvl w:val="1"/>
          <w:numId w:val="1013"/>
        </w:numPr>
        <w:pStyle w:val="Compact"/>
      </w:pPr>
      <w:r>
        <w:t xml:space="preserve">Emission Factor: 0.062 kg CO2e/tonne-km (equivalent to 0.000062 kg CO2e/kg-km)</w:t>
      </w:r>
    </w:p>
    <w:p>
      <w:pPr>
        <w:numPr>
          <w:ilvl w:val="1"/>
          <w:numId w:val="1013"/>
        </w:numPr>
        <w:pStyle w:val="Compact"/>
      </w:pPr>
      <w:r>
        <w:t xml:space="preserve">Emissions: 1,500 km * 1 kg * 0.000062 kg CO2e/kg-km = 0.09 kg CO2e/unit</w:t>
      </w:r>
    </w:p>
    <w:p>
      <w:pPr>
        <w:numPr>
          <w:ilvl w:val="0"/>
          <w:numId w:val="1011"/>
        </w:numPr>
        <w:pStyle w:val="Compact"/>
      </w:pPr>
      <w:r>
        <w:rPr>
          <w:bCs/>
          <w:b/>
        </w:rPr>
        <w:t xml:space="preserve">Last-Mile Delivery (Van/Light Commercial Vehicle):</w:t>
      </w:r>
    </w:p>
    <w:p>
      <w:pPr>
        <w:numPr>
          <w:ilvl w:val="1"/>
          <w:numId w:val="1014"/>
        </w:numPr>
        <w:pStyle w:val="Compact"/>
      </w:pPr>
      <w:r>
        <w:t xml:space="preserve">Distance: 100 km (per delivery trip, assuming one unit is part of a larger delivery)</w:t>
      </w:r>
    </w:p>
    <w:p>
      <w:pPr>
        <w:numPr>
          <w:ilvl w:val="1"/>
          <w:numId w:val="1014"/>
        </w:numPr>
        <w:pStyle w:val="Compact"/>
      </w:pPr>
      <w:r>
        <w:t xml:space="preserve">Emission Factor: 0.20 kg CO2e/km (per vehicle, assuming 10 units per trip for calculation) = 0.02 kg CO2e/unit</w:t>
      </w:r>
    </w:p>
    <w:p>
      <w:pPr>
        <w:numPr>
          <w:ilvl w:val="1"/>
          <w:numId w:val="1014"/>
        </w:numPr>
        <w:pStyle w:val="Compact"/>
      </w:pPr>
      <w:r>
        <w:t xml:space="preserve">Emissions: 100 km * (0.20 kg CO2e/km / 10 units) = 2.00 kg CO2e/unit</w:t>
      </w:r>
    </w:p>
    <w:p>
      <w:pPr>
        <w:numPr>
          <w:ilvl w:val="0"/>
          <w:numId w:val="1011"/>
        </w:numPr>
        <w:pStyle w:val="Compact"/>
      </w:pPr>
      <w:r>
        <w:rPr>
          <w:bCs/>
          <w:b/>
        </w:rPr>
        <w:t xml:space="preserve">Total Transport Emissions:</w:t>
      </w:r>
      <w:r>
        <w:t xml:space="preserve"> </w:t>
      </w:r>
      <w:r>
        <w:t xml:space="preserve">2.70 + 0.09 + 2.00 = 4.79 kg CO2e/unit</w:t>
      </w:r>
    </w:p>
    <w:bookmarkEnd w:id="39"/>
    <w:bookmarkStart w:id="40" w:name="category-11-use-of-sold-products"/>
    <w:p>
      <w:pPr>
        <w:pStyle w:val="Heading4"/>
      </w:pPr>
      <w:r>
        <w:t xml:space="preserve">5.3.3. 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5 kWh/year</w:t>
      </w:r>
    </w:p>
    <w:p>
      <w:pPr>
        <w:numPr>
          <w:ilvl w:val="0"/>
          <w:numId w:val="1015"/>
        </w:numPr>
        <w:pStyle w:val="Compact"/>
      </w:pPr>
      <w:r>
        <w:t xml:space="preserve">Total Energy Consumption over Lifespan: 5 kWh/year * 5 years = 25 kWh/unit</w:t>
      </w:r>
    </w:p>
    <w:p>
      <w:pPr>
        <w:numPr>
          <w:ilvl w:val="0"/>
          <w:numId w:val="1015"/>
        </w:numPr>
        <w:pStyle w:val="Compact"/>
      </w:pPr>
      <w:r>
        <w:t xml:space="preserve">European Grid Electricity Emission Factor: 0.35 kg CO2e/kWh (Illustrative average)</w:t>
      </w:r>
    </w:p>
    <w:p>
      <w:pPr>
        <w:pStyle w:val="FirstParagraph"/>
      </w:pPr>
      <w:r>
        <w:t xml:space="preserve">Calculation:</w:t>
      </w:r>
    </w:p>
    <w:p>
      <w:pPr>
        <w:pStyle w:val="BodyText"/>
      </w:pPr>
      <w:r>
        <w:t xml:space="preserve">Use Phase Emissions = 25 kWh/unit * 0.35 kg CO2e/kWh = 8.75 kg CO2e/unit</w:t>
      </w:r>
    </w:p>
    <w:bookmarkEnd w:id="40"/>
    <w:bookmarkStart w:id="41" w:name="X9f66eef2700632e081dfe139021cb724ffcd2c5"/>
    <w:p>
      <w:pPr>
        <w:pStyle w:val="Heading4"/>
      </w:pPr>
      <w:r>
        <w:t xml:space="preserve">5.3.4. Category 12: End-of-Life Treatment of Sold Products</w:t>
      </w:r>
    </w:p>
    <w:p>
      <w:pPr>
        <w:numPr>
          <w:ilvl w:val="0"/>
          <w:numId w:val="1016"/>
        </w:numPr>
        <w:pStyle w:val="Compact"/>
      </w:pPr>
      <w:r>
        <w:t xml:space="preserve">Recyclability Percentage: 70%</w:t>
      </w:r>
    </w:p>
    <w:p>
      <w:pPr>
        <w:numPr>
          <w:ilvl w:val="0"/>
          <w:numId w:val="1016"/>
        </w:numPr>
        <w:pStyle w:val="Compact"/>
      </w:pPr>
      <w:r>
        <w:t xml:space="preserve">Remaining Waste (non-recycled): 30% of total product mass (1 kg * 0.30 = 0.3 kg)</w:t>
      </w:r>
    </w:p>
    <w:p>
      <w:pPr>
        <w:pStyle w:val="FirstParagraph"/>
      </w:pPr>
      <w:r>
        <w:t xml:space="preserve">Assuming the 30% non-recycled portion goes to landfill (conservative approach, or incineration with energy recovery, which would have lower net emissions). Illustrative Emission Factor for Landfill (mixed waste): ~0.5 kg CO2e/kg.</w:t>
      </w:r>
    </w:p>
    <w:p>
      <w:pPr>
        <w:pStyle w:val="BodyText"/>
      </w:pPr>
      <w:r>
        <w:t xml:space="preserve">EoL Emissions (Landfill for non-recycled portion) = 0.3 kg * 0.5 kg CO2e/kg = 0.15 kg CO2e/unit</w:t>
      </w:r>
    </w:p>
    <w:p>
      <w:pPr>
        <w:pStyle w:val="BodyText"/>
      </w:pPr>
      <w:r>
        <w:t xml:space="preserve">The "Product Take-back Scheme with Material Recovery" (</w:t>
      </w:r>
      <w:r>
        <w:rPr>
          <w:rStyle w:val="VerbatimChar"/>
        </w:rPr>
        <w:t xml:space="preserve">fiwzrltlno</w:t>
      </w:r>
      <w:r>
        <w:t xml:space="preserve">) for the 70% recyclable materials would significantly reduce virgin material demand, but for a direct PCF calculation, we quantify the emissions from the non-recycled part. Actual avoided emissions from recycling are a benefit outside the strict EoL emissions calculation, often treated as credits in a cradle-to-grave analysis or within a wider circularity assessment.</w:t>
      </w:r>
    </w:p>
    <w:bookmarkEnd w:id="41"/>
    <w:bookmarkStart w:id="42" w:name="summary-of-scope-3-emissions"/>
    <w:p>
      <w:pPr>
        <w:pStyle w:val="Heading4"/>
      </w:pPr>
      <w:r>
        <w:t xml:space="preserve">Summary of Scope 3 Emissions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8.32</w:t>
            </w:r>
          </w:p>
        </w:tc>
      </w:tr>
      <w:tr>
        <w:tc>
          <w:tcPr/>
          <w:p>
            <w:pPr>
              <w:pStyle w:val="Compact"/>
              <w:jc w:val="left"/>
            </w:pPr>
            <w:r>
              <w:t xml:space="preserve">Category 4 &amp; 9</w:t>
            </w:r>
          </w:p>
        </w:tc>
        <w:tc>
          <w:tcPr/>
          <w:p>
            <w:pPr>
              <w:pStyle w:val="Compact"/>
              <w:jc w:val="left"/>
            </w:pPr>
            <w:r>
              <w:t xml:space="preserve">Transportation and Distribution</w:t>
            </w:r>
          </w:p>
        </w:tc>
        <w:tc>
          <w:tcPr/>
          <w:p>
            <w:pPr>
              <w:pStyle w:val="Compact"/>
              <w:jc w:val="left"/>
            </w:pPr>
            <w:r>
              <w:t xml:space="preserve">4.79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8.75</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0.15</w:t>
            </w:r>
          </w:p>
        </w:tc>
      </w:tr>
      <w:tr>
        <w:tc>
          <w:tcPr>
            <w:gridSpan w:val="2"/>
          </w:tcPr>
          <w:p>
            <w:pPr>
              <w:pStyle w:val="Compact"/>
              <w:jc w:val="right"/>
            </w:pPr>
            <w:r>
              <w:rPr>
                <w:bCs/>
                <w:b/>
              </w:rPr>
              <w:t xml:space="preserve">Total Scope 3 Emissions:</w:t>
            </w:r>
          </w:p>
        </w:tc>
        <w:tc>
          <w:tcPr/>
          <w:p>
            <w:pPr>
              <w:pStyle w:val="Compact"/>
              <w:jc w:val="left"/>
            </w:pPr>
            <w:r>
              <w:rPr>
                <w:bCs/>
                <w:b/>
              </w:rPr>
              <w:t xml:space="preserve">22.01 kg CO2e</w:t>
            </w:r>
          </w:p>
        </w:tc>
      </w:tr>
    </w:tbl>
    <w:bookmarkEnd w:id="42"/>
    <w:bookmarkEnd w:id="43"/>
    <w:bookmarkStart w:id="44" w:name="application-of-2026-lsr-standard"/>
    <w:p>
      <w:pPr>
        <w:pStyle w:val="Heading3"/>
      </w:pPr>
      <w:r>
        <w:t xml:space="preserve">5.4. Application of 2026 LSR Standard</w:t>
      </w:r>
    </w:p>
    <w:p>
      <w:pPr>
        <w:pStyle w:val="FirstParagraph"/>
      </w:pPr>
      <w:r>
        <w:t xml:space="preserve">The 2026 Land Sector and Removals (LSR) Standard focuses on land management, land use change, and CO2 removals, including those from biogenic products and technological removals. For a manufactured product like xklkpiltqt, the direct applicability depends on the nature of its materials. If any materials were bio-based (e.g., wood, natural fibers) derived from managed lands, the LSR Standard would guide the accounting of associated land-use change emissions or removals. For this specific product (assuming standard electronics components), the LSR Standard is primarily acknowledged for its conceptual importance in value chain accounting for land-related impacts. Should xklkpiltqt incorporate bio-based plastics or other agricultural products in the future, a detailed assessment following the LSR Standard would be crucial to quantify biogenic carbon fluxes and any associated removals or emissions.</w:t>
      </w:r>
    </w:p>
    <w:bookmarkEnd w:id="44"/>
    <w:bookmarkStart w:id="45" w:name="total-product-carbon-footprint"/>
    <w:p>
      <w:pPr>
        <w:pStyle w:val="Heading3"/>
      </w:pPr>
      <w:r>
        <w:t xml:space="preserve">5.5. Total Product Carbon Footprint</w:t>
      </w:r>
    </w:p>
    <w:p>
      <w:pPr>
        <w:pStyle w:val="FirstParagraph"/>
      </w:pPr>
      <w:r>
        <w:t xml:space="preserve">The total carbon footprint for one functional unit of xklkpiltqt is the sum of Scope 1, Scope 2, and Scope 3 emissions.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4.50</w:t>
            </w:r>
          </w:p>
        </w:tc>
      </w:tr>
      <w:tr>
        <w:tc>
          <w:tcPr/>
          <w:p>
            <w:pPr>
              <w:pStyle w:val="Compact"/>
              <w:jc w:val="left"/>
            </w:pPr>
            <w:r>
              <w:t xml:space="preserve">Scope 3</w:t>
            </w:r>
          </w:p>
        </w:tc>
        <w:tc>
          <w:tcPr/>
          <w:p>
            <w:pPr>
              <w:pStyle w:val="Compact"/>
              <w:jc w:val="left"/>
            </w:pPr>
            <w:r>
              <w:t xml:space="preserve">Value Chain Emissions</w:t>
            </w:r>
          </w:p>
        </w:tc>
        <w:tc>
          <w:tcPr/>
          <w:p>
            <w:pPr>
              <w:pStyle w:val="Compact"/>
              <w:jc w:val="left"/>
            </w:pPr>
            <w:r>
              <w:t xml:space="preserve">22.01</w:t>
            </w:r>
          </w:p>
        </w:tc>
      </w:tr>
      <w:tr>
        <w:tc>
          <w:tcPr>
            <w:gridSpan w:val="2"/>
          </w:tcPr>
          <w:p>
            <w:pPr>
              <w:pStyle w:val="Compact"/>
              <w:jc w:val="right"/>
            </w:pPr>
            <w:r>
              <w:rPr>
                <w:bCs/>
                <w:b/>
              </w:rPr>
              <w:t xml:space="preserve">Total PCF (per 1.0 unit of xklkpiltqt):</w:t>
            </w:r>
          </w:p>
        </w:tc>
        <w:tc>
          <w:tcPr/>
          <w:p>
            <w:pPr>
              <w:pStyle w:val="Compact"/>
              <w:jc w:val="left"/>
            </w:pPr>
            <w:r>
              <w:rPr>
                <w:bCs/>
                <w:b/>
              </w:rPr>
              <w:t xml:space="preserve">26.51 kg CO2e</w:t>
            </w:r>
          </w:p>
        </w:tc>
      </w:tr>
    </w:tbl>
    <w:p>
      <w:r>
        <w:pict>
          <v:rect style="width:0;height:1.5pt" o:hralign="center" o:hrstd="t" o:hr="t"/>
        </w:pict>
      </w:r>
    </w:p>
    <w:bookmarkEnd w:id="45"/>
    <w:bookmarkEnd w:id="46"/>
    <w:bookmarkStart w:id="50" w:name="review-report"/>
    <w:p>
      <w:pPr>
        <w:pStyle w:val="Heading2"/>
      </w:pPr>
      <w:r>
        <w:t xml:space="preserve">6. Review &amp; Report</w:t>
      </w:r>
    </w:p>
    <w:bookmarkStart w:id="47" w:name="emission-hotspots"/>
    <w:p>
      <w:pPr>
        <w:pStyle w:val="Heading3"/>
      </w:pPr>
      <w:r>
        <w:t xml:space="preserve">6.1. Emission Hotspots</w:t>
      </w:r>
    </w:p>
    <w:p>
      <w:pPr>
        <w:pStyle w:val="FirstParagraph"/>
      </w:pPr>
      <w:r>
        <w:t xml:space="preserve">Based on the calculations, the primary emission hotspots for xklkpiltqt are:</w:t>
      </w:r>
    </w:p>
    <w:p>
      <w:pPr>
        <w:numPr>
          <w:ilvl w:val="0"/>
          <w:numId w:val="1017"/>
        </w:numPr>
        <w:pStyle w:val="Compact"/>
      </w:pPr>
      <w:r>
        <w:rPr>
          <w:bCs/>
          <w:b/>
        </w:rPr>
        <w:t xml:space="preserve">Materials Acquisition (Scope 3, Category 1):</w:t>
      </w:r>
      <w:r>
        <w:t xml:space="preserve"> </w:t>
      </w:r>
      <w:r>
        <w:t xml:space="preserve">Constituting a significant portion (8.32 kg CO2e), indicating that the choice and sourcing of raw materials, especially electronic components and plastics, are critical.</w:t>
      </w:r>
    </w:p>
    <w:p>
      <w:pPr>
        <w:numPr>
          <w:ilvl w:val="0"/>
          <w:numId w:val="1017"/>
        </w:numPr>
        <w:pStyle w:val="Compact"/>
      </w:pPr>
      <w:r>
        <w:rPr>
          <w:bCs/>
          <w:b/>
        </w:rPr>
        <w:t xml:space="preserve">Use of Sold Products (Scope 3, Category 11):</w:t>
      </w:r>
      <w:r>
        <w:t xml:space="preserve"> </w:t>
      </w:r>
      <w:r>
        <w:t xml:space="preserve">The energy consumption during the product\'s 5-year lifespan contributes substantially (8.75 kg CO2e), highlighting the importance of energy efficiency in product design and the carbon intensity of the electricity grid in the use location.</w:t>
      </w:r>
    </w:p>
    <w:p>
      <w:pPr>
        <w:numPr>
          <w:ilvl w:val="0"/>
          <w:numId w:val="1017"/>
        </w:numPr>
        <w:pStyle w:val="Compact"/>
      </w:pPr>
      <w:r>
        <w:rPr>
          <w:bCs/>
          <w:b/>
        </w:rPr>
        <w:t xml:space="preserve">Purchased Electricity (Scope 2):</w:t>
      </w:r>
      <w:r>
        <w:t xml:space="preserve"> </w:t>
      </w:r>
      <w:r>
        <w:t xml:space="preserve">Manufacturing energy use (4.50 kg CO2e) presents an opportunity for further decarbonization through increased renewable energy adoption at production facilities in China.</w:t>
      </w:r>
    </w:p>
    <w:p>
      <w:pPr>
        <w:numPr>
          <w:ilvl w:val="0"/>
          <w:numId w:val="1017"/>
        </w:numPr>
        <w:pStyle w:val="Compact"/>
      </w:pPr>
      <w:r>
        <w:rPr>
          <w:bCs/>
          <w:b/>
        </w:rPr>
        <w:t xml:space="preserve">Transportation and Distribution (Scope 3, Category 4 &amp; 9):</w:t>
      </w:r>
      <w:r>
        <w:t xml:space="preserve"> </w:t>
      </w:r>
      <w:r>
        <w:t xml:space="preserve">Long-distance sea freight and last-mile delivery combine for a notable impact (4.79 kg CO2e).</w:t>
      </w:r>
    </w:p>
    <w:bookmarkEnd w:id="47"/>
    <w:bookmarkStart w:id="48" w:name="reliability-and-data-quality"/>
    <w:p>
      <w:pPr>
        <w:pStyle w:val="Heading3"/>
      </w:pPr>
      <w:r>
        <w:t xml:space="preserve">6.2. Reliability and Data Quality</w:t>
      </w:r>
    </w:p>
    <w:p>
      <w:pPr>
        <w:pStyle w:val="FirstParagraph"/>
      </w:pPr>
      <w:r>
        <w:t xml:space="preserve">The reliability of this PCF analysis is contingent upon the accuracy of the underlying activity data and emission factors. For this report, example data has been used for the placeholders (e.g., `pohgokwm`, `rhlvkyvqxs`, etc.). In a real-world scenario, primary data from suppliers, energy providers, and logistics partners would be collected to enhance accuracy. Secondary data, where used, draws from reputable sources such as Ecoinvent and DEFRA databases, which provide robust average emission factors. The 95% Scope 3 coverage target ensures a comprehensive assessment, minimizing the risk of significant overlooked emissions. Continuous data collection improvement and verification are recommended to increase the precision of future assessments.</w:t>
      </w:r>
    </w:p>
    <w:bookmarkEnd w:id="48"/>
    <w:bookmarkStart w:id="49" w:name="recommendations-for-decarbonization"/>
    <w:p>
      <w:pPr>
        <w:pStyle w:val="Heading3"/>
      </w:pPr>
      <w:r>
        <w:t xml:space="preserve">6.3. Recommendations for Decarbonization</w:t>
      </w:r>
    </w:p>
    <w:p>
      <w:pPr>
        <w:numPr>
          <w:ilvl w:val="0"/>
          <w:numId w:val="1018"/>
        </w:numPr>
        <w:pStyle w:val="Compact"/>
      </w:pPr>
      <w:r>
        <w:rPr>
          <w:bCs/>
          <w:b/>
        </w:rPr>
        <w:t xml:space="preserve">Material Optimization:</w:t>
      </w:r>
      <w:r>
        <w:t xml:space="preserve"> </w:t>
      </w:r>
      <w:r>
        <w:t xml:space="preserve">Investigate alternative, lower-carbon materials for the plastic casing and electronic components. Work with suppliers to source materials with verified lower embedded emissions.</w:t>
      </w:r>
    </w:p>
    <w:p>
      <w:pPr>
        <w:numPr>
          <w:ilvl w:val="0"/>
          <w:numId w:val="1018"/>
        </w:numPr>
        <w:pStyle w:val="Compact"/>
      </w:pPr>
      <w:r>
        <w:rPr>
          <w:bCs/>
          <w:b/>
        </w:rPr>
        <w:t xml:space="preserve">Energy Efficiency in Use:</w:t>
      </w:r>
      <w:r>
        <w:t xml:space="preserve"> </w:t>
      </w:r>
      <w:r>
        <w:t xml:space="preserve">Focus on designing xklkpiltqt for greater energy efficiency during its operational lifespan to reduce downstream emissions. Explore user-behavior nudges for efficient use.</w:t>
      </w:r>
    </w:p>
    <w:p>
      <w:pPr>
        <w:numPr>
          <w:ilvl w:val="0"/>
          <w:numId w:val="1018"/>
        </w:numPr>
        <w:pStyle w:val="Compact"/>
      </w:pPr>
      <w:r>
        <w:rPr>
          <w:bCs/>
          <w:b/>
        </w:rPr>
        <w:t xml:space="preserve">Renewable Energy Procurement:</w:t>
      </w:r>
      <w:r>
        <w:t xml:space="preserve"> </w:t>
      </w:r>
      <w:r>
        <w:t xml:space="preserve">Increase the percentage of renewable energy used in manufacturing operations in China. This could involve direct renewable energy investments or purchasing high-quality renewable energy certificates.</w:t>
      </w:r>
    </w:p>
    <w:p>
      <w:pPr>
        <w:numPr>
          <w:ilvl w:val="0"/>
          <w:numId w:val="1018"/>
        </w:numPr>
        <w:pStyle w:val="Compact"/>
      </w:pPr>
      <w:r>
        <w:rPr>
          <w:bCs/>
          <w:b/>
        </w:rPr>
        <w:t xml:space="preserve">Logistics Optimization:</w:t>
      </w:r>
      <w:r>
        <w:t xml:space="preserve"> </w:t>
      </w:r>
      <w:r>
        <w:t xml:space="preserve">Optimize transport routes, explore lower-emission transport modes (e.g., rail where feasible in Europe), and partner with logistics providers using electric or more fuel-efficient fleets for last-mile delivery.</w:t>
      </w:r>
    </w:p>
    <w:p>
      <w:pPr>
        <w:numPr>
          <w:ilvl w:val="0"/>
          <w:numId w:val="1018"/>
        </w:numPr>
        <w:pStyle w:val="Compact"/>
      </w:pPr>
      <w:r>
        <w:rPr>
          <w:bCs/>
          <w:b/>
        </w:rPr>
        <w:t xml:space="preserve">Circular Economy Integration:</w:t>
      </w:r>
      <w:r>
        <w:t xml:space="preserve"> </w:t>
      </w:r>
      <w:r>
        <w:t xml:space="preserve">Enhance the circularity of xklkpiltqt through improved design for disassembly, repairability, and higher-value material recovery in the take-back scheme.</w:t>
      </w:r>
    </w:p>
    <w:p>
      <w:pPr>
        <w:numPr>
          <w:ilvl w:val="0"/>
          <w:numId w:val="1018"/>
        </w:numPr>
        <w:pStyle w:val="Compact"/>
      </w:pPr>
      <w:r>
        <w:rPr>
          <w:bCs/>
          <w:b/>
        </w:rPr>
        <w:t xml:space="preserve">LSR Standard Integration:</w:t>
      </w:r>
      <w:r>
        <w:t xml:space="preserve"> </w:t>
      </w:r>
      <w:r>
        <w:t xml:space="preserve">If xklkpiltqt were to incorporate bio-based materials, a detailed assessment and reporting under the GHG Protocol\'s LSR Standard would be crucial to accurately capture land-related emissions and removals.</w:t>
      </w:r>
    </w:p>
    <w:p>
      <w:r>
        <w:pict>
          <v:rect style="width:0;height:1.5pt" o:hralign="center" o:hrstd="t" o:hr="t"/>
        </w:pict>
      </w:r>
    </w:p>
    <w:p>
      <w:pPr>
        <w:pStyle w:val="FirstParagraph"/>
      </w:pPr>
      <w:r>
        <w:t xml:space="preserve">Confidential - Internal Use Only | Page</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xklkpiltqt</dc:title>
  <dc:creator/>
  <dc:description>High-detail Product Carbon Footprint (PCF) analysis report for xklkpiltqt by Senior Sustainability Consultant lnofjtehqk for mslljxtruo, adhering to GHG Protocol and 2026 LSR Update.</dc:description>
  <dc:language>en</dc:language>
  <cp:keywords/>
  <dcterms:created xsi:type="dcterms:W3CDTF">2026-05-30T22:14:37Z</dcterms:created>
  <dcterms:modified xsi:type="dcterms:W3CDTF">2026-05-30T22:14:37Z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