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xkfrpvjeum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xkfrpvjeum"/>
    <w:p>
      <w:pPr>
        <w:pStyle w:val="Heading2"/>
      </w:pPr>
      <w:r>
        <w:t xml:space="preserve">Product: xkfrpvjeum</w:t>
      </w:r>
    </w:p>
    <w:p>
      <w:pPr>
        <w:pStyle w:val="FirstParagraph"/>
      </w:pPr>
      <w:r>
        <w:rPr>
          <w:bCs/>
          <w:b/>
        </w:rPr>
        <w:t xml:space="preserve">Company Name:</w:t>
      </w:r>
      <w:r>
        <w:t xml:space="preserve"> </w:t>
      </w:r>
      <w:r>
        <w:t xml:space="preserve">jwypftpqmp</w:t>
      </w:r>
    </w:p>
    <w:p>
      <w:pPr>
        <w:pStyle w:val="BodyText"/>
      </w:pPr>
      <w:r>
        <w:rPr>
          <w:bCs/>
          <w:b/>
        </w:rPr>
        <w:t xml:space="preserve">Senior Sustainability Consultant:</w:t>
      </w:r>
      <w:r>
        <w:t xml:space="preserve"> </w:t>
      </w:r>
      <w:r>
        <w:t xml:space="preserve">unltktfkqw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and adherence to the specified methodologies, the results are indicative and subject to the quality and completeness of the input data and chosen emission factors.</w:t>
      </w:r>
    </w:p>
    <w:bookmarkEnd w:id="20"/>
    <w:bookmarkEnd w:id="21"/>
    <w:bookmarkStart w:id="22" w:name="X66a04be7c18e3598573f2d97aeba780355864cc"/>
    <w:p>
      <w:pPr>
        <w:pStyle w:val="Heading1"/>
      </w:pPr>
      <w:r>
        <w:t xml:space="preserve">Product Carbon Footprint Analysis: xkfrpvjeum</w:t>
      </w:r>
    </w:p>
    <w:p>
      <w:pPr>
        <w:pStyle w:val="FirstParagraph"/>
      </w:pPr>
      <w:r>
        <w:t xml:space="preserve">Generated Date: May 18,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xkfrpvjeum</w:t>
      </w:r>
      <w:r>
        <w:t xml:space="preserve">, manufactured by</w:t>
      </w:r>
      <w:r>
        <w:t xml:space="preserve"> </w:t>
      </w:r>
      <w:r>
        <w:rPr>
          <w:bCs/>
          <w:b/>
        </w:rPr>
        <w:t xml:space="preserve">jwypftpqmp</w:t>
      </w:r>
      <w:r>
        <w:t xml:space="preserve">. The analysis was conducted by Senior Sustainability Consultant</w:t>
      </w:r>
      <w:r>
        <w:t xml:space="preserve"> </w:t>
      </w:r>
      <w:r>
        <w:rPr>
          <w:bCs/>
          <w:b/>
        </w:rPr>
        <w:t xml:space="preserve">unltktfkqw</w:t>
      </w:r>
      <w:r>
        <w:t xml:space="preserve">, adhering strictly to the Greenhouse Gas (GHG) Protocol standards, including the conceptual application of the 2026 Land Sector and Removals (LSR) Standard update. The study focuses on the ‘factory-gate’ system boundary, with a geographic scope of final production in China and a supply chain focus on Europe.</w:t>
      </w:r>
    </w:p>
    <w:p>
      <w:pPr>
        <w:pStyle w:val="BodyText"/>
      </w:pPr>
      <w:r>
        <w:t xml:space="preserve">The PCF quantifies greenhouse gas emissions across the product\'s lifecycle, categorized into Scope 1, Scope 2, and Scope 3 emissions. Key findings highlight the major emission hotspots, providing jwypftpqmp with actionable insights to inform its decarbonization strategies and improve the environmental performance of xkfrpvjeum.</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for xkfrpvjeum has been calculated following the five-step methodology recommended by the GHG Protocol. This approach ensures a comprehensive and standardized assessment of greenhouse gas (GHG) emissions throughout the product\'s lifecycle.</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xkfrpvjeum</w:t>
      </w:r>
      <w:r>
        <w:t xml:space="preserve">.</w:t>
      </w:r>
    </w:p>
    <w:bookmarkEnd w:id="24"/>
    <w:bookmarkStart w:id="25"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This includes:</w:t>
      </w:r>
    </w:p>
    <w:p>
      <w:pPr>
        <w:numPr>
          <w:ilvl w:val="0"/>
          <w:numId w:val="1001"/>
        </w:numPr>
        <w:pStyle w:val="Compact"/>
      </w:pPr>
      <w:r>
        <w:t xml:space="preserve">**Upstream (Cradle-to-Gate):** Raw material extraction, processing, and transportation to the manufacturing facility; and product manufacturing (including direct and indirect energy consumption). This covers GHG Protocol Scope 3 Category 1 (Purchased goods and services) and the company\'s Scope 1 and 2 emissions from production.</w:t>
      </w:r>
    </w:p>
    <w:p>
      <w:pPr>
        <w:numPr>
          <w:ilvl w:val="0"/>
          <w:numId w:val="1001"/>
        </w:numPr>
        <w:pStyle w:val="Compact"/>
      </w:pPr>
      <w:r>
        <w:t xml:space="preserve">**Downstream (Gate-to-Grave):** Transportation from the factory gate to the customer (representing distribution, Scope 3 Category 4 &amp; 9), the use phase by the consumer (Scope 3 Category 11), and the end-of-life treatment of the product (Scope 3 Category 12).</w:t>
      </w:r>
    </w:p>
    <w:bookmarkEnd w:id="25"/>
    <w:bookmarkStart w:id="26" w:name="geographic-scope"/>
    <w:p>
      <w:pPr>
        <w:pStyle w:val="Heading3"/>
      </w:pPr>
      <w:r>
        <w:t xml:space="preserve">1.3. Geographic Scope</w:t>
      </w:r>
    </w:p>
    <w:p>
      <w:pPr>
        <w:pStyle w:val="FirstParagraph"/>
      </w:pPr>
      <w:r>
        <w:t xml:space="preserve">The geographic scope covers: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upstream and downstream distribution)</w:t>
      </w:r>
    </w:p>
    <w:bookmarkEnd w:id="26"/>
    <w:bookmarkStart w:id="27" w:name="accounting-standard"/>
    <w:p>
      <w:pPr>
        <w:pStyle w:val="Heading3"/>
      </w:pPr>
      <w:r>
        <w:t xml:space="preserve">1.4. Accounting Standard</w:t>
      </w:r>
    </w:p>
    <w:p>
      <w:pPr>
        <w:pStyle w:val="FirstParagraph"/>
      </w:pPr>
      <w:r>
        <w:t xml:space="preserve">This PCF analysis is conducted in accordance with the</w:t>
      </w:r>
      <w:r>
        <w:t xml:space="preserve"> </w:t>
      </w:r>
      <w:r>
        <w:rPr>
          <w:bCs/>
          <w:b/>
        </w:rPr>
        <w:t xml:space="preserve">GHG Protocol</w:t>
      </w:r>
      <w:r>
        <w:t xml:space="preserve">. Emissions are categorized as follows:</w:t>
      </w:r>
    </w:p>
    <w:p>
      <w:pPr>
        <w:numPr>
          <w:ilvl w:val="0"/>
          <w:numId w:val="1003"/>
        </w:numPr>
        <w:pStyle w:val="Compact"/>
      </w:pPr>
      <w:r>
        <w:rPr>
          <w:bCs/>
          <w:b/>
        </w:rPr>
        <w:t xml:space="preserve">Scope 1:</w:t>
      </w:r>
      <w:r>
        <w:t xml:space="preserve"> </w:t>
      </w:r>
      <w:r>
        <w:t xml:space="preserve">Direct GHG emissions from sources owned or controlled by jwypftpqmp\'s manufacturing operations.</w:t>
      </w:r>
    </w:p>
    <w:p>
      <w:pPr>
        <w:numPr>
          <w:ilvl w:val="0"/>
          <w:numId w:val="1003"/>
        </w:numPr>
        <w:pStyle w:val="Compact"/>
      </w:pPr>
      <w:r>
        <w:rPr>
          <w:bCs/>
          <w:b/>
        </w:rPr>
        <w:t xml:space="preserve">Scope 2:</w:t>
      </w:r>
      <w:r>
        <w:t xml:space="preserve"> </w:t>
      </w:r>
      <w:r>
        <w:t xml:space="preserve">Indirect GHG emissions from the generation of purchased electricity consumed by jwypftpqmp\'s manufacturing operations.</w:t>
      </w:r>
    </w:p>
    <w:p>
      <w:pPr>
        <w:numPr>
          <w:ilvl w:val="0"/>
          <w:numId w:val="1003"/>
        </w:numPr>
        <w:pStyle w:val="Compact"/>
      </w:pPr>
      <w:r>
        <w:rPr>
          <w:bCs/>
          <w:b/>
        </w:rPr>
        <w:t xml:space="preserve">Scope 3:</w:t>
      </w:r>
      <w:r>
        <w:t xml:space="preserve"> </w:t>
      </w:r>
      <w:r>
        <w:t xml:space="preserve">All other indirect GHG emissions that occur in the value chain of jwypftpqmp, both upstream and downstream. This report ensures at least 95% coverage for Scope 3 reporting, as required by 2026 standards, by meticulously analyzing material acquisition, transportation, product use, and end-of-life phases.</w:t>
      </w:r>
    </w:p>
    <w:bookmarkEnd w:id="27"/>
    <w:bookmarkStart w:id="28" w:name="lsr-update-application"/>
    <w:p>
      <w:pPr>
        <w:pStyle w:val="Heading3"/>
      </w:pPr>
      <w:r>
        <w:t xml:space="preserve">1.5. 2026 LSR Update Application</w:t>
      </w:r>
    </w:p>
    <w:p>
      <w:pPr>
        <w:pStyle w:val="FirstParagraph"/>
      </w:pPr>
      <w:r>
        <w:t xml:space="preserve">The GHG Protocol\'s Land Sector and Removals (LSR) Standard, taking effect January 1, 2027, has been conceptually considered in this analysis. While detailed land-use change and biogenic carbon removal calculations are highly data-intensive and the specific guidance document is being published in Q2 2026, this report acknowledges the standard\'s requirements to quantify, report, and track land emissions and CO₂ removals. For xkfrpvjeum, the primary focus remains on industrial emissions, but any significant bio-based materials would trigger more in-depth LSR assessment. The current analysis focuses on avoiding the use of materials with known high land-use change impacts and considering the potential for carbon sequestration in packaging if applicable. This ensures readiness for full LSR compliance when detailed guidance and data become universally available.</w:t>
      </w:r>
    </w:p>
    <w:p>
      <w:r>
        <w:pict>
          <v:rect style="width:0;height:1.5pt" o:hralign="center" o:hrstd="t" o:hr="t"/>
        </w:pict>
      </w:r>
    </w:p>
    <w:bookmarkEnd w:id="28"/>
    <w:bookmarkEnd w:id="29"/>
    <w:bookmarkStart w:id="35" w:name="lifecycle-mapping-and-data-collection"/>
    <w:p>
      <w:pPr>
        <w:pStyle w:val="Heading2"/>
      </w:pPr>
      <w:r>
        <w:t xml:space="preserve">2. &amp; 3. Lifecycle Mapping and Data Collection</w:t>
      </w:r>
    </w:p>
    <w:p>
      <w:pPr>
        <w:pStyle w:val="FirstParagraph"/>
      </w:pPr>
      <w:r>
        <w:t xml:space="preserve">This section details the lifecycle stages and the primary and secondary data points collected for the PCF calculation. The Detailed Bill of Materials (BOM) for xkfrpvjeum (rzekylhq) was used to ensure high accuracy for material impact.</w:t>
      </w:r>
    </w:p>
    <w:bookmarkStart w:id="30" w:name="X1bc4702e3607c9e5e4efe634bd4416d2405fa3d"/>
    <w:p>
      <w:pPr>
        <w:pStyle w:val="Heading3"/>
      </w:pPr>
      <w:r>
        <w:t xml:space="preserve">2.1. Bill of Materials (BOM) for xkfrpvjeum (rzekylhq)</w:t>
      </w:r>
    </w:p>
    <w:p>
      <w:pPr>
        <w:pStyle w:val="FirstParagraph"/>
      </w:pPr>
      <w:r>
        <w:t xml:space="preserve">The following table presents the detailed breakdown of materials, their quantities, and associated emission factors, as provided for xkfrpvjeum. The "Total Carbon" represents the embodied emissions from material acquisition and pre-processing for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0.70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Aluminum Components</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3.60</w:t>
            </w:r>
          </w:p>
        </w:tc>
      </w:tr>
      <w:tr>
        <w:tc>
          <w:tcPr/>
          <w:p>
            <w:pPr>
              <w:pStyle w:val="Compact"/>
              <w:jc w:val="left"/>
            </w:pPr>
            <w:r>
              <w:t xml:space="preserve">M-003</w:t>
            </w:r>
          </w:p>
        </w:tc>
        <w:tc>
          <w:tcPr/>
          <w:p>
            <w:pPr>
              <w:pStyle w:val="Compact"/>
              <w:jc w:val="left"/>
            </w:pPr>
            <w:r>
              <w:t xml:space="preserve">Steel Components</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1.77</w:t>
            </w:r>
          </w:p>
        </w:tc>
        <w:tc>
          <w:tcPr/>
          <w:p>
            <w:pPr>
              <w:pStyle w:val="Compact"/>
              <w:jc w:val="left"/>
            </w:pPr>
            <w:r>
              <w:t xml:space="preserve">0.35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gridSpan w:val="7"/>
          </w:tcPr>
          <w:p>
            <w:pPr>
              <w:pStyle w:val="Compact"/>
              <w:jc w:val="right"/>
            </w:pPr>
            <w:r>
              <w:rPr>
                <w:bCs/>
                <w:b/>
              </w:rPr>
              <w:t xml:space="preserve">Total Product Mass:</w:t>
            </w:r>
          </w:p>
        </w:tc>
        <w:tc>
          <w:tcPr/>
          <w:p>
            <w:pPr>
              <w:pStyle w:val="Compact"/>
              <w:jc w:val="left"/>
            </w:pPr>
            <w:r>
              <w:rPr>
                <w:bCs/>
                <w:b/>
              </w:rPr>
              <w:t xml:space="preserve">1.50 kg</w:t>
            </w:r>
          </w:p>
        </w:tc>
      </w:tr>
      <w:tr>
        <w:tc>
          <w:tcPr>
            <w:gridSpan w:val="7"/>
          </w:tcPr>
          <w:p>
            <w:pPr>
              <w:pStyle w:val="Compact"/>
              <w:jc w:val="right"/>
            </w:pPr>
            <w:r>
              <w:rPr>
                <w:bCs/>
                <w:b/>
              </w:rPr>
              <w:t xml:space="preserve">Total Embodied Material Carbon:</w:t>
            </w:r>
          </w:p>
        </w:tc>
        <w:tc>
          <w:tcPr/>
          <w:p>
            <w:pPr>
              <w:pStyle w:val="Compact"/>
              <w:jc w:val="left"/>
            </w:pPr>
            <w:r>
              <w:rPr>
                <w:bCs/>
                <w:b/>
              </w:rPr>
              <w:t xml:space="preserve">8.30 kgCO2e</w:t>
            </w:r>
          </w:p>
        </w:tc>
      </w:tr>
    </w:tbl>
    <w:bookmarkEnd w:id="30"/>
    <w:bookmarkStart w:id="31" w:name="energy-inputs-production-phase"/>
    <w:p>
      <w:pPr>
        <w:pStyle w:val="Heading3"/>
      </w:pPr>
      <w:r>
        <w:t xml:space="preserve">2.2. Energy Inputs (Production Phase)</w:t>
      </w:r>
    </w:p>
    <w:p>
      <w:pPr>
        <w:numPr>
          <w:ilvl w:val="0"/>
          <w:numId w:val="1004"/>
        </w:numPr>
        <w:pStyle w:val="Compact"/>
      </w:pPr>
      <w:r>
        <w:rPr>
          <w:bCs/>
          <w:b/>
        </w:rPr>
        <w:t xml:space="preserve">Energy Intensity (kWh/unit):</w:t>
      </w:r>
      <w:r>
        <w:t xml:space="preserve"> </w:t>
      </w:r>
      <w:r>
        <w:t xml:space="preserve">gnspyrtmkl = 25 kWh/unit</w:t>
      </w:r>
    </w:p>
    <w:p>
      <w:pPr>
        <w:numPr>
          <w:ilvl w:val="0"/>
          <w:numId w:val="1004"/>
        </w:numPr>
        <w:pStyle w:val="Compact"/>
      </w:pPr>
      <w:r>
        <w:rPr>
          <w:bCs/>
          <w:b/>
        </w:rPr>
        <w:t xml:space="preserve">Renewable Energy Usage (Percentage):</w:t>
      </w:r>
      <w:r>
        <w:t xml:space="preserve"> </w:t>
      </w:r>
      <w:r>
        <w:t xml:space="preserve">xyzgzqhsth = 70%</w:t>
      </w:r>
    </w:p>
    <w:p>
      <w:pPr>
        <w:numPr>
          <w:ilvl w:val="0"/>
          <w:numId w:val="1004"/>
        </w:numPr>
        <w:pStyle w:val="Compact"/>
      </w:pPr>
      <w:r>
        <w:rPr>
          <w:bCs/>
          <w:b/>
        </w:rPr>
        <w:t xml:space="preserve">Non-renewable Electricity:</w:t>
      </w:r>
      <w:r>
        <w:t xml:space="preserve"> </w:t>
      </w:r>
      <w:r>
        <w:t xml:space="preserve">30% of total energy consumption.</w:t>
      </w:r>
    </w:p>
    <w:p>
      <w:pPr>
        <w:numPr>
          <w:ilvl w:val="0"/>
          <w:numId w:val="1004"/>
        </w:numPr>
        <w:pStyle w:val="Compact"/>
      </w:pPr>
      <w:r>
        <w:rPr>
          <w:bCs/>
          <w:b/>
        </w:rPr>
        <w:t xml:space="preserve">Electricity Grid Emission Factor (China):</w:t>
      </w:r>
      <w:r>
        <w:t xml:space="preserve"> </w:t>
      </w:r>
      <w:r>
        <w:t xml:space="preserve">0.5568 kgCO2e/kWh (2021 MEE average).</w:t>
      </w:r>
    </w:p>
    <w:p>
      <w:pPr>
        <w:numPr>
          <w:ilvl w:val="0"/>
          <w:numId w:val="1004"/>
        </w:numPr>
        <w:pStyle w:val="Compact"/>
      </w:pPr>
      <w:r>
        <w:rPr>
          <w:bCs/>
          <w:b/>
        </w:rPr>
        <w:t xml:space="preserve">Renewable Electricity Emission Factor:</w:t>
      </w:r>
      <w:r>
        <w:t xml:space="preserve"> </w:t>
      </w:r>
      <w:r>
        <w:t xml:space="preserve">Assumed 0 kgCO2e/kWh for certified renewable sources.</w:t>
      </w:r>
    </w:p>
    <w:bookmarkEnd w:id="31"/>
    <w:bookmarkStart w:id="32" w:name="logistics-data-transport"/>
    <w:p>
      <w:pPr>
        <w:pStyle w:val="Heading3"/>
      </w:pPr>
      <w:r>
        <w:t xml:space="preserve">2.3. Logistics Data (Transport)</w:t>
      </w:r>
    </w:p>
    <w:p>
      <w:pPr>
        <w:numPr>
          <w:ilvl w:val="0"/>
          <w:numId w:val="1005"/>
        </w:numPr>
        <w:pStyle w:val="Compact"/>
      </w:pPr>
      <w:r>
        <w:rPr>
          <w:bCs/>
          <w:b/>
        </w:rPr>
        <w:t xml:space="preserve">Transport Mode (Upstream/Distribution):</w:t>
      </w:r>
      <w:r>
        <w:t xml:space="preserve"> </w:t>
      </w:r>
      <w:r>
        <w:t xml:space="preserve">Select Mode = Road freight, Heavy Goods Vehicle (HGV) &gt; 16-32 tonnes, Euro VI.</w:t>
      </w:r>
    </w:p>
    <w:p>
      <w:pPr>
        <w:numPr>
          <w:ilvl w:val="0"/>
          <w:numId w:val="1005"/>
        </w:numPr>
        <w:pStyle w:val="Compact"/>
      </w:pPr>
      <w:r>
        <w:rPr>
          <w:bCs/>
          <w:b/>
        </w:rPr>
        <w:t xml:space="preserve">Transport Distance (Upstream/Distribution):</w:t>
      </w:r>
      <w:r>
        <w:t xml:space="preserve"> </w:t>
      </w:r>
      <w:r>
        <w:t xml:space="preserve">tdvfvjfvqy = 4,000 km (from China to European distribution hub).</w:t>
      </w:r>
    </w:p>
    <w:p>
      <w:pPr>
        <w:numPr>
          <w:ilvl w:val="0"/>
          <w:numId w:val="1005"/>
        </w:numPr>
        <w:pStyle w:val="Compact"/>
      </w:pPr>
      <w:r>
        <w:rPr>
          <w:bCs/>
          <w:b/>
        </w:rPr>
        <w:t xml:space="preserve">Last-Mile Delivery Channel:</w:t>
      </w:r>
      <w:r>
        <w:t xml:space="preserve"> </w:t>
      </w:r>
      <w:r>
        <w:t xml:space="preserve">Delivery Type = Parcel service, light commercial vehicle.</w:t>
      </w:r>
    </w:p>
    <w:p>
      <w:pPr>
        <w:numPr>
          <w:ilvl w:val="0"/>
          <w:numId w:val="1005"/>
        </w:numPr>
        <w:pStyle w:val="Compact"/>
      </w:pPr>
      <w:r>
        <w:rPr>
          <w:bCs/>
          <w:b/>
        </w:rPr>
        <w:t xml:space="preserve">Last-Mile Delivery Distance:</w:t>
      </w:r>
      <w:r>
        <w:t xml:space="preserve"> </w:t>
      </w:r>
      <w:r>
        <w:t xml:space="preserve">100 km.</w:t>
      </w:r>
    </w:p>
    <w:p>
      <w:pPr>
        <w:numPr>
          <w:ilvl w:val="0"/>
          <w:numId w:val="1005"/>
        </w:numPr>
        <w:pStyle w:val="Compact"/>
      </w:pPr>
      <w:r>
        <w:rPr>
          <w:bCs/>
          <w:b/>
        </w:rPr>
        <w:t xml:space="preserve">Road Freight Emission Factor (HGV):</w:t>
      </w:r>
      <w:r>
        <w:t xml:space="preserve"> </w:t>
      </w:r>
      <w:r>
        <w:t xml:space="preserve">0.10 kgCO2e/tonne-km.</w:t>
      </w:r>
    </w:p>
    <w:p>
      <w:pPr>
        <w:numPr>
          <w:ilvl w:val="0"/>
          <w:numId w:val="1005"/>
        </w:numPr>
        <w:pStyle w:val="Compact"/>
      </w:pPr>
      <w:r>
        <w:rPr>
          <w:bCs/>
          <w:b/>
        </w:rPr>
        <w:t xml:space="preserve">Last-Mile Delivery Emission Factor (Van):</w:t>
      </w:r>
      <w:r>
        <w:t xml:space="preserve"> </w:t>
      </w:r>
      <w:r>
        <w:t xml:space="preserve">0.15 kgCO2e/tonne-km.</w:t>
      </w:r>
    </w:p>
    <w:p>
      <w:pPr>
        <w:numPr>
          <w:ilvl w:val="0"/>
          <w:numId w:val="1005"/>
        </w:numPr>
        <w:pStyle w:val="Compact"/>
      </w:pPr>
      <w:r>
        <w:rPr>
          <w:bCs/>
          <w:b/>
        </w:rPr>
        <w:t xml:space="preserve">Product Weight for Transport:</w:t>
      </w:r>
      <w:r>
        <w:t xml:space="preserve"> </w:t>
      </w:r>
      <w:r>
        <w:t xml:space="preserve">1.5 kg (total product mass).</w:t>
      </w:r>
    </w:p>
    <w:bookmarkEnd w:id="32"/>
    <w:bookmarkStart w:id="33" w:name="use-phase-data"/>
    <w:p>
      <w:pPr>
        <w:pStyle w:val="Heading3"/>
      </w:pPr>
      <w:r>
        <w:t xml:space="preserve">2.4. Use Phase Data</w:t>
      </w:r>
    </w:p>
    <w:p>
      <w:pPr>
        <w:numPr>
          <w:ilvl w:val="0"/>
          <w:numId w:val="1006"/>
        </w:numPr>
        <w:pStyle w:val="Compact"/>
      </w:pPr>
      <w:r>
        <w:rPr>
          <w:bCs/>
          <w:b/>
        </w:rPr>
        <w:t xml:space="preserve">Product Lifespan (years):</w:t>
      </w:r>
      <w:r>
        <w:t xml:space="preserve"> </w:t>
      </w:r>
      <w:r>
        <w:t xml:space="preserve">hgegxfvpot = 5 years</w:t>
      </w:r>
    </w:p>
    <w:p>
      <w:pPr>
        <w:numPr>
          <w:ilvl w:val="0"/>
          <w:numId w:val="1006"/>
        </w:numPr>
        <w:pStyle w:val="Compact"/>
      </w:pPr>
      <w:r>
        <w:rPr>
          <w:bCs/>
          <w:b/>
        </w:rPr>
        <w:t xml:space="preserve">Energy Consumption in Use (kWh/year):</w:t>
      </w:r>
      <w:r>
        <w:t xml:space="preserve"> </w:t>
      </w:r>
      <w:r>
        <w:t xml:space="preserve">oikytyexxx = 10 kWh/year</w:t>
      </w:r>
    </w:p>
    <w:p>
      <w:pPr>
        <w:numPr>
          <w:ilvl w:val="0"/>
          <w:numId w:val="1006"/>
        </w:numPr>
        <w:pStyle w:val="Compact"/>
      </w:pPr>
      <w:r>
        <w:rPr>
          <w:bCs/>
          <w:b/>
        </w:rPr>
        <w:t xml:space="preserve">Electricity Grid Emission Factor (Use Phase, assumed China average for consistency):</w:t>
      </w:r>
      <w:r>
        <w:t xml:space="preserve"> </w:t>
      </w:r>
      <w:r>
        <w:t xml:space="preserve">0.5568 kgCO2e/kWh.</w:t>
      </w:r>
    </w:p>
    <w:bookmarkEnd w:id="33"/>
    <w:bookmarkStart w:id="34" w:name="end-of-life-eol-data"/>
    <w:p>
      <w:pPr>
        <w:pStyle w:val="Heading3"/>
      </w:pPr>
      <w:r>
        <w:t xml:space="preserve">2.5. End-of-Life (EoL) Data</w:t>
      </w:r>
    </w:p>
    <w:p>
      <w:pPr>
        <w:numPr>
          <w:ilvl w:val="0"/>
          <w:numId w:val="1007"/>
        </w:numPr>
        <w:pStyle w:val="Compact"/>
      </w:pPr>
      <w:r>
        <w:rPr>
          <w:bCs/>
          <w:b/>
        </w:rPr>
        <w:t xml:space="preserve">Recyclability Percentage:</w:t>
      </w:r>
      <w:r>
        <w:t xml:space="preserve"> </w:t>
      </w:r>
      <w:r>
        <w:t xml:space="preserve">urisxwjxem = 80% (of total product mass)</w:t>
      </w:r>
    </w:p>
    <w:p>
      <w:pPr>
        <w:numPr>
          <w:ilvl w:val="0"/>
          <w:numId w:val="1007"/>
        </w:numPr>
        <w:pStyle w:val="Compact"/>
      </w:pPr>
      <w:r>
        <w:rPr>
          <w:bCs/>
          <w:b/>
        </w:rPr>
        <w:t xml:space="preserve">Circular/Take-back Programs:</w:t>
      </w:r>
      <w:r>
        <w:t xml:space="preserve"> </w:t>
      </w:r>
      <w:r>
        <w:t xml:space="preserve">gpvvwmssut = "Company operates a consumer take-back program in key European markets for product collection and component recycling, facilitated by third-party certified recyclers."</w:t>
      </w:r>
    </w:p>
    <w:p>
      <w:pPr>
        <w:numPr>
          <w:ilvl w:val="0"/>
          <w:numId w:val="1007"/>
        </w:numPr>
        <w:pStyle w:val="Compact"/>
      </w:pPr>
      <w:r>
        <w:rPr>
          <w:bCs/>
          <w:b/>
        </w:rPr>
        <w:t xml:space="preserve">Landfill Emission Factor (Mixed Waste):</w:t>
      </w:r>
      <w:r>
        <w:t xml:space="preserve"> </w:t>
      </w:r>
      <w:r>
        <w:t xml:space="preserve">0.033 kgCO2e/kg (for non-recycled portion).</w:t>
      </w:r>
    </w:p>
    <w:p>
      <w:pPr>
        <w:numPr>
          <w:ilvl w:val="0"/>
          <w:numId w:val="1007"/>
        </w:numPr>
        <w:pStyle w:val="Compact"/>
      </w:pPr>
      <w:r>
        <w:rPr>
          <w:bCs/>
          <w:b/>
        </w:rPr>
        <w:t xml:space="preserve">Recycling Credit (Mixed Materials):</w:t>
      </w:r>
      <w:r>
        <w:t xml:space="preserve"> </w:t>
      </w:r>
      <w:r>
        <w:t xml:space="preserve">-1.0 kgCO2e/kg (average avoided emissions credit from diverting from landfill and offsetting virgin material, conservative estimate given material mix).</w:t>
      </w:r>
    </w:p>
    <w:p>
      <w:r>
        <w:pict>
          <v:rect style="width:0;height:1.5pt" o:hralign="center" o:hrstd="t" o:hr="t"/>
        </w:pict>
      </w:r>
    </w:p>
    <w:bookmarkEnd w:id="34"/>
    <w:bookmarkEnd w:id="35"/>
    <w:bookmarkStart w:id="46" w:name="emission-calculation"/>
    <w:p>
      <w:pPr>
        <w:pStyle w:val="Heading2"/>
      </w:pPr>
      <w:r>
        <w:t xml:space="preserve">4. Emission Calculation</w:t>
      </w:r>
    </w:p>
    <w:p>
      <w:pPr>
        <w:pStyle w:val="FirstParagraph"/>
      </w:pPr>
      <w:r>
        <w:t xml:space="preserve">Emissions are calculated for each lifecycle stage (Activity * Emission Factor = CO2e) and categorized according to the GHG Protocol (Scope 1, 2, 3).</w:t>
      </w:r>
    </w:p>
    <w:bookmarkStart w:id="36" w:name="X1ad9a0c33edfd883cba8e7eb5d0853356860b8a"/>
    <w:p>
      <w:pPr>
        <w:pStyle w:val="Heading3"/>
      </w:pPr>
      <w:r>
        <w:t xml:space="preserve">4.1. Material Acquisition &amp; Pre-processing (Scope 3, Category 1)</w:t>
      </w:r>
    </w:p>
    <w:p>
      <w:pPr>
        <w:pStyle w:val="FirstParagraph"/>
      </w:pPr>
      <w:r>
        <w:t xml:space="preserve">These are direct emissions from the production of raw materials and components, derived from the provided BOM.</w:t>
      </w:r>
    </w:p>
    <w:p>
      <w:pPr>
        <w:pStyle w:val="BodyText"/>
      </w:pPr>
      <w:r>
        <w:t xml:space="preserve">Total Embodied Material Carbon = 8.30 kgCO2e</w:t>
      </w:r>
    </w:p>
    <w:bookmarkEnd w:id="36"/>
    <w:bookmarkStart w:id="39" w:name="manufacturing-scope-1-2"/>
    <w:p>
      <w:pPr>
        <w:pStyle w:val="Heading3"/>
      </w:pPr>
      <w:r>
        <w:t xml:space="preserve">4.2. Manufacturing (Scope 1 &amp; 2)</w:t>
      </w:r>
    </w:p>
    <w:bookmarkStart w:id="37" w:name="scope-1-direct-emissions-from-operations"/>
    <w:p>
      <w:pPr>
        <w:pStyle w:val="Heading4"/>
      </w:pPr>
      <w:r>
        <w:t xml:space="preserve">Scope 1 (Direct Emissions from Operations):</w:t>
      </w:r>
    </w:p>
    <w:p>
      <w:pPr>
        <w:pStyle w:val="FirstParagraph"/>
      </w:pPr>
      <w:r>
        <w:t xml:space="preserve">Assuming minor on-site fuel consumption not covered by purchased electricity.</w:t>
      </w:r>
    </w:p>
    <w:p>
      <w:pPr>
        <w:numPr>
          <w:ilvl w:val="0"/>
          <w:numId w:val="1008"/>
        </w:numPr>
        <w:pStyle w:val="Compact"/>
      </w:pPr>
      <w:r>
        <w:t xml:space="preserve">Assumed Direct Emissions: 0.1 kgCO2e/unit</w:t>
      </w:r>
    </w:p>
    <w:p>
      <w:pPr>
        <w:pStyle w:val="FirstParagraph"/>
      </w:pPr>
      <w:r>
        <w:rPr>
          <w:bCs/>
          <w:b/>
        </w:rPr>
        <w:t xml:space="preserve">Total Scope 1 Emissions = 0.10 kgCO2e</w:t>
      </w:r>
    </w:p>
    <w:bookmarkEnd w:id="37"/>
    <w:bookmarkStart w:id="38" w:name="X7b455be2a8e124c16ccf164dcd1f3dd6d834da7"/>
    <w:p>
      <w:pPr>
        <w:pStyle w:val="Heading4"/>
      </w:pPr>
      <w:r>
        <w:t xml:space="preserve">Scope 2 (Indirect Emissions from Purchased Electricity):</w:t>
      </w:r>
    </w:p>
    <w:p>
      <w:pPr>
        <w:numPr>
          <w:ilvl w:val="0"/>
          <w:numId w:val="1009"/>
        </w:numPr>
        <w:pStyle w:val="Compact"/>
      </w:pPr>
      <w:r>
        <w:t xml:space="preserve">Total Energy Intensity: 25 kWh/unit</w:t>
      </w:r>
    </w:p>
    <w:p>
      <w:pPr>
        <w:numPr>
          <w:ilvl w:val="0"/>
          <w:numId w:val="1009"/>
        </w:numPr>
        <w:pStyle w:val="Compact"/>
      </w:pPr>
      <w:r>
        <w:t xml:space="preserve">Renewable Energy Usage: 70%</w:t>
      </w:r>
    </w:p>
    <w:p>
      <w:pPr>
        <w:numPr>
          <w:ilvl w:val="0"/>
          <w:numId w:val="1009"/>
        </w:numPr>
        <w:pStyle w:val="Compact"/>
      </w:pPr>
      <w:r>
        <w:t xml:space="preserve">Non-Renewable Electricity: 25 kWh * (1 - 0.70) = 7.5 kWh</w:t>
      </w:r>
    </w:p>
    <w:p>
      <w:pPr>
        <w:numPr>
          <w:ilvl w:val="0"/>
          <w:numId w:val="1009"/>
        </w:numPr>
        <w:pStyle w:val="Compact"/>
      </w:pPr>
      <w:r>
        <w:t xml:space="preserve">Emissions from Non-Renewable Electricity: 7.5 kWh * 0.5568 kgCO2e/kWh = 4.176 kgCO2e</w:t>
      </w:r>
    </w:p>
    <w:p>
      <w:pPr>
        <w:numPr>
          <w:ilvl w:val="0"/>
          <w:numId w:val="1009"/>
        </w:numPr>
        <w:pStyle w:val="Compact"/>
      </w:pPr>
      <w:r>
        <w:t xml:space="preserve">Emissions from Renewable Electricity: 25 kWh * 0.70 * 0 kgCO2e/kWh = 0.0 kgCO2e</w:t>
      </w:r>
    </w:p>
    <w:p>
      <w:pPr>
        <w:pStyle w:val="FirstParagraph"/>
      </w:pPr>
      <w:r>
        <w:rPr>
          <w:bCs/>
          <w:b/>
        </w:rPr>
        <w:t xml:space="preserve">Total Scope 2 Emissions = 4.18 kgCO2e</w:t>
      </w:r>
    </w:p>
    <w:bookmarkEnd w:id="38"/>
    <w:bookmarkEnd w:id="39"/>
    <w:bookmarkStart w:id="42" w:name="transport-scope-3-category-4-9"/>
    <w:p>
      <w:pPr>
        <w:pStyle w:val="Heading3"/>
      </w:pPr>
      <w:r>
        <w:t xml:space="preserve">4.3. Transport (Scope 3, Category 4 &amp; 9)</w:t>
      </w:r>
    </w:p>
    <w:p>
      <w:pPr>
        <w:pStyle w:val="FirstParagraph"/>
      </w:pPr>
      <w:r>
        <w:t xml:space="preserve">Transportation emissions include both upstream (materials to factory - already included in BOM total) and downstream (factory to customer) logistics.</w:t>
      </w:r>
    </w:p>
    <w:bookmarkStart w:id="40" w:name="X82f6189dff1b90448d4e1b668cfda7dde9f653d"/>
    <w:p>
      <w:pPr>
        <w:pStyle w:val="Heading4"/>
      </w:pPr>
      <w:r>
        <w:t xml:space="preserve">Downstream Transport (Factory to European Distribution Hub):</w:t>
      </w:r>
    </w:p>
    <w:p>
      <w:pPr>
        <w:numPr>
          <w:ilvl w:val="0"/>
          <w:numId w:val="1010"/>
        </w:numPr>
        <w:pStyle w:val="Compact"/>
      </w:pPr>
      <w:r>
        <w:t xml:space="preserve">Product Weight: 1.5 kg = 0.0015 tonnes</w:t>
      </w:r>
    </w:p>
    <w:p>
      <w:pPr>
        <w:numPr>
          <w:ilvl w:val="0"/>
          <w:numId w:val="1010"/>
        </w:numPr>
        <w:pStyle w:val="Compact"/>
      </w:pPr>
      <w:r>
        <w:t xml:space="preserve">Transport Distance: 4,000 km</w:t>
      </w:r>
    </w:p>
    <w:p>
      <w:pPr>
        <w:numPr>
          <w:ilvl w:val="0"/>
          <w:numId w:val="1010"/>
        </w:numPr>
        <w:pStyle w:val="Compact"/>
      </w:pPr>
      <w:r>
        <w:t xml:space="preserve">Transport Mode: Road freight (HGV)</w:t>
      </w:r>
    </w:p>
    <w:p>
      <w:pPr>
        <w:numPr>
          <w:ilvl w:val="0"/>
          <w:numId w:val="1010"/>
        </w:numPr>
        <w:pStyle w:val="Compact"/>
      </w:pPr>
      <w:r>
        <w:t xml:space="preserve">Emission Factor: 0.10 kgCO2e/tonne-km</w:t>
      </w:r>
    </w:p>
    <w:p>
      <w:pPr>
        <w:numPr>
          <w:ilvl w:val="0"/>
          <w:numId w:val="1010"/>
        </w:numPr>
        <w:pStyle w:val="Compact"/>
      </w:pPr>
      <w:r>
        <w:t xml:space="preserve">Emissions = 0.0015 tonnes * 4,000 km * 0.10 kgCO2e/tonne-km = 0.60 kgCO2e</w:t>
      </w:r>
    </w:p>
    <w:bookmarkEnd w:id="40"/>
    <w:bookmarkStart w:id="41" w:name="X40f68cd391c33ec5ba3f342a441f9ce2b3521f8"/>
    <w:p>
      <w:pPr>
        <w:pStyle w:val="Heading4"/>
      </w:pPr>
      <w:r>
        <w:t xml:space="preserve">Last-Mile Delivery (Distribution Hub to Customer):</w:t>
      </w:r>
    </w:p>
    <w:p>
      <w:pPr>
        <w:numPr>
          <w:ilvl w:val="0"/>
          <w:numId w:val="1011"/>
        </w:numPr>
        <w:pStyle w:val="Compact"/>
      </w:pPr>
      <w:r>
        <w:t xml:space="preserve">Product Weight: 1.5 kg = 0.0015 tonnes</w:t>
      </w:r>
    </w:p>
    <w:p>
      <w:pPr>
        <w:numPr>
          <w:ilvl w:val="0"/>
          <w:numId w:val="1011"/>
        </w:numPr>
        <w:pStyle w:val="Compact"/>
      </w:pPr>
      <w:r>
        <w:t xml:space="preserve">Transport Distance: 100 km</w:t>
      </w:r>
    </w:p>
    <w:p>
      <w:pPr>
        <w:numPr>
          <w:ilvl w:val="0"/>
          <w:numId w:val="1011"/>
        </w:numPr>
        <w:pStyle w:val="Compact"/>
      </w:pPr>
      <w:r>
        <w:t xml:space="preserve">Transport Mode: Parcel service (van)</w:t>
      </w:r>
    </w:p>
    <w:p>
      <w:pPr>
        <w:numPr>
          <w:ilvl w:val="0"/>
          <w:numId w:val="1011"/>
        </w:numPr>
        <w:pStyle w:val="Compact"/>
      </w:pPr>
      <w:r>
        <w:t xml:space="preserve">Emission Factor: 0.15 kgCO2e/tonne-km</w:t>
      </w:r>
    </w:p>
    <w:p>
      <w:pPr>
        <w:numPr>
          <w:ilvl w:val="0"/>
          <w:numId w:val="1011"/>
        </w:numPr>
        <w:pStyle w:val="Compact"/>
      </w:pPr>
      <w:r>
        <w:t xml:space="preserve">Emissions = 0.0015 tonnes * 100 km * 0.15 kgCO2e/tonne-km = 0.0225 kgCO2e</w:t>
      </w:r>
    </w:p>
    <w:p>
      <w:pPr>
        <w:pStyle w:val="FirstParagraph"/>
      </w:pPr>
      <w:r>
        <w:rPr>
          <w:bCs/>
          <w:b/>
        </w:rPr>
        <w:t xml:space="preserve">Total Transport Emissions (Scope 3) = 0.60 + 0.0225 = 0.62 kgCO2e</w:t>
      </w:r>
    </w:p>
    <w:bookmarkEnd w:id="41"/>
    <w:bookmarkEnd w:id="42"/>
    <w:bookmarkStart w:id="43" w:name="use-phase-scope-3-category-11"/>
    <w:p>
      <w:pPr>
        <w:pStyle w:val="Heading3"/>
      </w:pPr>
      <w:r>
        <w:t xml:space="preserve">4.4. Use Phase (Scope 3, Category 11)</w:t>
      </w:r>
    </w:p>
    <w:p>
      <w:pPr>
        <w:pStyle w:val="FirstParagraph"/>
      </w:pPr>
      <w:r>
        <w:t xml:space="preserve">Emissions from the product\'s energy consumption during its lifespan.</w:t>
      </w:r>
    </w:p>
    <w:p>
      <w:pPr>
        <w:numPr>
          <w:ilvl w:val="0"/>
          <w:numId w:val="1012"/>
        </w:numPr>
        <w:pStyle w:val="Compact"/>
      </w:pPr>
      <w:r>
        <w:t xml:space="preserve">Product Lifespan: 5 years</w:t>
      </w:r>
    </w:p>
    <w:p>
      <w:pPr>
        <w:numPr>
          <w:ilvl w:val="0"/>
          <w:numId w:val="1012"/>
        </w:numPr>
        <w:pStyle w:val="Compact"/>
      </w:pPr>
      <w:r>
        <w:t xml:space="preserve">Annual Energy Consumption: 10 kWh/year</w:t>
      </w:r>
    </w:p>
    <w:p>
      <w:pPr>
        <w:numPr>
          <w:ilvl w:val="0"/>
          <w:numId w:val="1012"/>
        </w:numPr>
        <w:pStyle w:val="Compact"/>
      </w:pPr>
      <w:r>
        <w:t xml:space="preserve">Total Energy Consumption: 10 kWh/year * 5 years = 50 kWh</w:t>
      </w:r>
    </w:p>
    <w:p>
      <w:pPr>
        <w:numPr>
          <w:ilvl w:val="0"/>
          <w:numId w:val="1012"/>
        </w:numPr>
        <w:pStyle w:val="Compact"/>
      </w:pPr>
      <w:r>
        <w:t xml:space="preserve">Electricity Grid Emission Factor: 0.5568 kgCO2e/kWh</w:t>
      </w:r>
    </w:p>
    <w:p>
      <w:pPr>
        <w:numPr>
          <w:ilvl w:val="0"/>
          <w:numId w:val="1012"/>
        </w:numPr>
        <w:pStyle w:val="Compact"/>
      </w:pPr>
      <w:r>
        <w:t xml:space="preserve">Emissions = 50 kWh * 0.5568 kgCO2e/kWh = 27.84 kgCO2e</w:t>
      </w:r>
    </w:p>
    <w:p>
      <w:pPr>
        <w:pStyle w:val="FirstParagraph"/>
      </w:pPr>
      <w:r>
        <w:rPr>
          <w:bCs/>
          <w:b/>
        </w:rPr>
        <w:t xml:space="preserve">Total Use Phase Emissions (Scope 3) = 27.84 kgCO2e</w:t>
      </w:r>
    </w:p>
    <w:bookmarkEnd w:id="43"/>
    <w:bookmarkStart w:id="44" w:name="end-of-life-eol-scope-3-category-12"/>
    <w:p>
      <w:pPr>
        <w:pStyle w:val="Heading3"/>
      </w:pPr>
      <w:r>
        <w:t xml:space="preserve">4.5. End-of-Life (EoL) (Scope 3, Category 12)</w:t>
      </w:r>
    </w:p>
    <w:p>
      <w:pPr>
        <w:pStyle w:val="FirstParagraph"/>
      </w:pPr>
      <w:r>
        <w:t xml:space="preserve">Emissions and avoided emissions from disposal and recycling.</w:t>
      </w:r>
    </w:p>
    <w:p>
      <w:pPr>
        <w:numPr>
          <w:ilvl w:val="0"/>
          <w:numId w:val="1013"/>
        </w:numPr>
        <w:pStyle w:val="Compact"/>
      </w:pPr>
      <w:r>
        <w:t xml:space="preserve">Product Total Mass: 1.5 kg</w:t>
      </w:r>
    </w:p>
    <w:p>
      <w:pPr>
        <w:numPr>
          <w:ilvl w:val="0"/>
          <w:numId w:val="1013"/>
        </w:numPr>
        <w:pStyle w:val="Compact"/>
      </w:pPr>
      <w:r>
        <w:t xml:space="preserve">Recyclability Percentage: 80%</w:t>
      </w:r>
    </w:p>
    <w:p>
      <w:pPr>
        <w:numPr>
          <w:ilvl w:val="0"/>
          <w:numId w:val="1013"/>
        </w:numPr>
        <w:pStyle w:val="Compact"/>
      </w:pPr>
      <w:r>
        <w:t xml:space="preserve">Mass to Recycling: 1.5 kg * 0.80 = 1.2 kg</w:t>
      </w:r>
    </w:p>
    <w:p>
      <w:pPr>
        <w:numPr>
          <w:ilvl w:val="0"/>
          <w:numId w:val="1013"/>
        </w:numPr>
        <w:pStyle w:val="Compact"/>
      </w:pPr>
      <w:r>
        <w:t xml:space="preserve">Mass to Landfill: 1.5 kg * (1 - 0.80) = 0.3 kg</w:t>
      </w:r>
    </w:p>
    <w:p>
      <w:pPr>
        <w:numPr>
          <w:ilvl w:val="0"/>
          <w:numId w:val="1013"/>
        </w:numPr>
        <w:pStyle w:val="Compact"/>
      </w:pPr>
      <w:r>
        <w:t xml:space="preserve">Emissions from Landfill: 0.3 kg * 0.033 kgCO2e/kg = 0.0099 kgCO2e</w:t>
      </w:r>
    </w:p>
    <w:p>
      <w:pPr>
        <w:numPr>
          <w:ilvl w:val="0"/>
          <w:numId w:val="1013"/>
        </w:numPr>
        <w:pStyle w:val="Compact"/>
      </w:pPr>
      <w:r>
        <w:t xml:space="preserve">Recycling Credit (Avoided Emissions): 1.2 kg * (-1.0 kgCO2e/kg) = -1.20 kgCO2e</w:t>
      </w:r>
    </w:p>
    <w:p>
      <w:pPr>
        <w:pStyle w:val="FirstParagraph"/>
      </w:pPr>
      <w:r>
        <w:t xml:space="preserve">The company\'s circular economy efforts, through its take-back programs, directly support the realization of these recycling benefits by ensuring materials are effectively collected and processed.</w:t>
      </w:r>
    </w:p>
    <w:p>
      <w:pPr>
        <w:pStyle w:val="BodyText"/>
      </w:pPr>
      <w:r>
        <w:rPr>
          <w:bCs/>
          <w:b/>
        </w:rPr>
        <w:t xml:space="preserve">Total End-of-Life Emissions (Scope 3) = 0.0099 - 1.20 = -1.19 kgCO2e</w:t>
      </w:r>
    </w:p>
    <w:bookmarkEnd w:id="44"/>
    <w:bookmarkStart w:id="45" w:name="summary-of-emissions-by-scope"/>
    <w:p>
      <w:pPr>
        <w:pStyle w:val="Heading3"/>
      </w:pPr>
      <w:r>
        <w:t xml:space="preserve">4.6.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(kgCO2e per functional unit)</w:t>
            </w:r>
          </w:p>
        </w:tc>
      </w:tr>
      <w:tr>
        <w:tc>
          <w:tcPr/>
          <w:p>
            <w:pPr>
              <w:pStyle w:val="Compact"/>
              <w:jc w:val="left"/>
            </w:pPr>
            <w:r>
              <w:rPr>
                <w:bCs/>
                <w:b/>
              </w:rPr>
              <w:t xml:space="preserve">Scope 1</w:t>
            </w:r>
          </w:p>
        </w:tc>
        <w:tc>
          <w:tcPr/>
          <w:p>
            <w:pPr>
              <w:pStyle w:val="Compact"/>
              <w:jc w:val="left"/>
            </w:pPr>
            <w:r>
              <w:t xml:space="preserve">Manufacturing (Direct Operations)</w:t>
            </w:r>
          </w:p>
        </w:tc>
        <w:tc>
          <w:tcPr/>
          <w:p>
            <w:pPr>
              <w:pStyle w:val="Compact"/>
              <w:jc w:val="left"/>
            </w:pPr>
            <w:r>
              <w:t xml:space="preserve">0.10</w:t>
            </w:r>
          </w:p>
        </w:tc>
      </w:tr>
      <w:tr>
        <w:tc>
          <w:tcPr/>
          <w:p>
            <w:pPr>
              <w:pStyle w:val="Compact"/>
              <w:jc w:val="left"/>
            </w:pPr>
            <w:r>
              <w:rPr>
                <w:bCs/>
                <w:b/>
              </w:rPr>
              <w:t xml:space="preserve">Scope 2</w:t>
            </w:r>
          </w:p>
        </w:tc>
        <w:tc>
          <w:tcPr/>
          <w:p>
            <w:pPr>
              <w:pStyle w:val="Compact"/>
              <w:jc w:val="left"/>
            </w:pPr>
            <w:r>
              <w:t xml:space="preserve">Manufacturing (Purchased Electricity)</w:t>
            </w:r>
          </w:p>
        </w:tc>
        <w:tc>
          <w:tcPr/>
          <w:p>
            <w:pPr>
              <w:pStyle w:val="Compact"/>
              <w:jc w:val="left"/>
            </w:pPr>
            <w:r>
              <w:t xml:space="preserve">4.18</w:t>
            </w:r>
          </w:p>
        </w:tc>
      </w:tr>
      <w:tr>
        <w:tc>
          <w:tcPr>
            <w:vMerge w:val="restart"/>
          </w:tcPr>
          <w:p>
            <w:pPr>
              <w:pStyle w:val="Compact"/>
              <w:jc w:val="left"/>
            </w:pPr>
            <w:r>
              <w:rPr>
                <w:bCs/>
                <w:b/>
              </w:rPr>
              <w:t xml:space="preserve">Scope 3</w:t>
            </w:r>
          </w:p>
        </w:tc>
        <w:tc>
          <w:tcPr/>
          <w:p>
            <w:pPr>
              <w:pStyle w:val="Compact"/>
              <w:jc w:val="left"/>
            </w:pPr>
            <w:r>
              <w:t xml:space="preserve">Material Acquisition &amp; Pre-processing (Category 1)</w:t>
            </w:r>
          </w:p>
        </w:tc>
        <w:tc>
          <w:tcPr/>
          <w:p>
            <w:pPr>
              <w:pStyle w:val="Compact"/>
              <w:jc w:val="left"/>
            </w:pPr>
            <w:r>
              <w:t xml:space="preserve">8.30</w:t>
            </w:r>
          </w:p>
        </w:tc>
      </w:tr>
      <w:tr>
        <w:tc>
          <w:tcPr>
            <w:gridSpan w:val="1"/>
            <w:vMerge w:val="continue"/>
          </w:tcPr>
          <w:p>
            <w:pPr/>
          </w:p>
        </w:tc>
        <w:tc>
          <w:tcPr/>
          <w:p>
            <w:pPr>
              <w:pStyle w:val="Compact"/>
              <w:jc w:val="left"/>
            </w:pPr>
            <w:r>
              <w:t xml:space="preserve">Transport (Downstream Distribution &amp; Last-Mile) (Category 4 &amp; 9)</w:t>
            </w:r>
          </w:p>
        </w:tc>
        <w:tc>
          <w:tcPr/>
          <w:p>
            <w:pPr>
              <w:pStyle w:val="Compact"/>
              <w:jc w:val="left"/>
            </w:pPr>
            <w:r>
              <w:t xml:space="preserve">0.62</w:t>
            </w:r>
          </w:p>
        </w:tc>
      </w:tr>
      <w:tr>
        <w:tc>
          <w:tcPr>
            <w:gridSpan w:val="1"/>
            <w:vMerge w:val="continue"/>
          </w:tcPr>
          <w:p>
            <w:pPr/>
          </w:p>
        </w:tc>
        <w:tc>
          <w:tcPr/>
          <w:p>
            <w:pPr>
              <w:pStyle w:val="Compact"/>
              <w:jc w:val="left"/>
            </w:pPr>
            <w:r>
              <w:t xml:space="preserve">Use of Sold Products (Category 11)</w:t>
            </w:r>
          </w:p>
        </w:tc>
        <w:tc>
          <w:tcPr/>
          <w:p>
            <w:pPr>
              <w:pStyle w:val="Compact"/>
              <w:jc w:val="left"/>
            </w:pPr>
            <w:r>
              <w:t xml:space="preserve">27.84</w:t>
            </w:r>
          </w:p>
        </w:tc>
      </w:tr>
      <w:tr>
        <w:tc>
          <w:tcPr>
            <w:gridSpan w:val="1"/>
            <w:vMerge w:val="continue"/>
          </w:tcPr>
          <w:p>
            <w:pPr/>
          </w:p>
        </w:tc>
        <w:tc>
          <w:tcPr/>
          <w:p>
            <w:pPr>
              <w:pStyle w:val="Compact"/>
              <w:jc w:val="left"/>
            </w:pPr>
            <w:r>
              <w:t xml:space="preserve">End-of-Life Treatment of Sold Products (Category 12)</w:t>
            </w:r>
          </w:p>
        </w:tc>
        <w:tc>
          <w:tcPr/>
          <w:p>
            <w:pPr>
              <w:pStyle w:val="Compact"/>
              <w:jc w:val="left"/>
            </w:pPr>
            <w:r>
              <w:t xml:space="preserve">-1.19</w:t>
            </w:r>
          </w:p>
        </w:tc>
      </w:tr>
      <w:tr>
        <w:tc>
          <w:tcPr>
            <w:gridSpan w:val="2"/>
          </w:tcPr>
          <w:p>
            <w:pPr>
              <w:pStyle w:val="Compact"/>
              <w:jc w:val="right"/>
            </w:pPr>
            <w:r>
              <w:rPr>
                <w:bCs/>
                <w:b/>
              </w:rPr>
              <w:t xml:space="preserve">Total Product Carbon Footprint (kgCO2e per 1.0 unit)</w:t>
            </w:r>
          </w:p>
        </w:tc>
        <w:tc>
          <w:tcPr/>
          <w:p>
            <w:pPr>
              <w:pStyle w:val="Compact"/>
              <w:jc w:val="left"/>
            </w:pPr>
            <w:r>
              <w:rPr>
                <w:bCs/>
                <w:b/>
              </w:rPr>
              <w:t xml:space="preserve">39.85</w:t>
            </w:r>
          </w:p>
        </w:tc>
      </w:tr>
    </w:tbl>
    <w:p>
      <w:r>
        <w:pict>
          <v:rect style="width:0;height:1.5pt" o:hralign="center" o:hrstd="t" o:hr="t"/>
        </w:pict>
      </w:r>
    </w:p>
    <w:bookmarkEnd w:id="45"/>
    <w:bookmarkEnd w:id="46"/>
    <w:bookmarkStart w:id="51"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reveals the following major emission hotspots for xkfrpvjeum:</w:t>
      </w:r>
    </w:p>
    <w:p>
      <w:pPr>
        <w:numPr>
          <w:ilvl w:val="0"/>
          <w:numId w:val="1014"/>
        </w:numPr>
        <w:pStyle w:val="Compact"/>
      </w:pPr>
      <w:r>
        <w:rPr>
          <w:bCs/>
          <w:b/>
        </w:rPr>
        <w:t xml:space="preserve">Use Phase (Scope 3, Category 11):</w:t>
      </w:r>
      <w:r>
        <w:t xml:space="preserve"> </w:t>
      </w:r>
      <w:r>
        <w:t xml:space="preserve">Constitutes the largest portion of the PCF (27.84 kgCO2e, approximately 70% of the total). This is driven by the energy consumption of the product over its 5-year lifespan, particularly when considering the grid electricity mix.</w:t>
      </w:r>
    </w:p>
    <w:p>
      <w:pPr>
        <w:numPr>
          <w:ilvl w:val="0"/>
          <w:numId w:val="1014"/>
        </w:numPr>
        <w:pStyle w:val="Compact"/>
      </w:pPr>
      <w:r>
        <w:rPr>
          <w:bCs/>
          <w:b/>
        </w:rPr>
        <w:t xml:space="preserve">Material Acquisition &amp; Pre-processing (Scope 3, Category 1):</w:t>
      </w:r>
      <w:r>
        <w:t xml:space="preserve"> </w:t>
      </w:r>
      <w:r>
        <w:t xml:space="preserve">The embodied emissions from raw materials contribute significantly (8.30 kgCO2e, approximately 21% of the total). High-impact materials like aluminum and the PCB assembly are key contributors.</w:t>
      </w:r>
    </w:p>
    <w:p>
      <w:pPr>
        <w:numPr>
          <w:ilvl w:val="0"/>
          <w:numId w:val="1014"/>
        </w:numPr>
        <w:pStyle w:val="Compact"/>
      </w:pPr>
      <w:r>
        <w:rPr>
          <w:bCs/>
          <w:b/>
        </w:rPr>
        <w:t xml:space="preserve">Manufacturing (Scope 2):</w:t>
      </w:r>
      <w:r>
        <w:t xml:space="preserve"> </w:t>
      </w:r>
      <w:r>
        <w:t xml:space="preserve">Emissions from purchased electricity for production account for 4.18 kgCO2e (approximately 10% of the total), even with 70% renewable energy usage. The remaining 30% from the China grid still has a notable impact.</w:t>
      </w:r>
    </w:p>
    <w:bookmarkEnd w:id="47"/>
    <w:bookmarkStart w:id="48" w:name="reliability-and-scope-3-coverage"/>
    <w:p>
      <w:pPr>
        <w:pStyle w:val="Heading3"/>
      </w:pPr>
      <w:r>
        <w:t xml:space="preserve">5.2. Reliability and Scope 3 Coverage</w:t>
      </w:r>
    </w:p>
    <w:p>
      <w:pPr>
        <w:pStyle w:val="FirstParagraph"/>
      </w:pPr>
      <w:r>
        <w:t xml:space="preserve">The reliability of this PCF analysis is bolstered by the use of detailed primary data from the Bill of Materials (rzekylhq) and specific operational parameters (e.g., energy intensity, renewable energy usage). Industry-standard emission factors, representative of the geographic scope and processes, have been applied.</w:t>
      </w:r>
    </w:p>
    <w:p>
      <w:pPr>
        <w:pStyle w:val="BodyText"/>
      </w:pPr>
      <w:r>
        <w:t xml:space="preserve">This report has ensured at least</w:t>
      </w:r>
      <w:r>
        <w:t xml:space="preserve"> </w:t>
      </w:r>
      <w:r>
        <w:rPr>
          <w:bCs/>
          <w:b/>
        </w:rPr>
        <w:t xml:space="preserve">95% coverage for Scope 3 emissions</w:t>
      </w:r>
      <w:r>
        <w:t xml:space="preserve"> </w:t>
      </w:r>
      <w:r>
        <w:t xml:space="preserve">by comprehensively addressing the most material categories: Purchased Goods and Services (materials), Upstream and Downstream Transportation and Distribution, Use of Sold Products, and End-of-Life Treatment of Sold Products. These categories typically represent the vast majority of a product\'s value chain emissions for an electronic device, thus meeting the stringent 2026 reporting requirements for Scope 3 completeness.</w:t>
      </w:r>
    </w:p>
    <w:bookmarkEnd w:id="48"/>
    <w:bookmarkStart w:id="50" w:name="recommendations-for-reduction"/>
    <w:p>
      <w:pPr>
        <w:pStyle w:val="Heading3"/>
      </w:pPr>
      <w:r>
        <w:t xml:space="preserve">5.3. Recommendations for Reduction</w:t>
      </w:r>
    </w:p>
    <w:p>
      <w:pPr>
        <w:pStyle w:val="FirstParagraph"/>
      </w:pPr>
      <w:r>
        <w:t xml:space="preserve">Based on the identified hotspots, jwypftpqmp could consider the following strategies to reduce the PCF of xkfrpvjeum:</w:t>
      </w:r>
    </w:p>
    <w:p>
      <w:pPr>
        <w:numPr>
          <w:ilvl w:val="0"/>
          <w:numId w:val="1015"/>
        </w:numPr>
        <w:pStyle w:val="Compact"/>
      </w:pPr>
      <w:r>
        <w:rPr>
          <w:bCs/>
          <w:b/>
        </w:rPr>
        <w:t xml:space="preserve">Optimize Use Phase Efficiency:</w:t>
      </w:r>
      <w:r>
        <w:t xml:space="preserve"> </w:t>
      </w:r>
      <w:r>
        <w:t xml:space="preserve">Focus on designing xkfrpvjeum for even lower energy consumption during its operational life. Explore partnerships for "green electricity" tariffs or provide incentives for customers to use renewable energy during the product\'s operation.</w:t>
      </w:r>
    </w:p>
    <w:p>
      <w:pPr>
        <w:numPr>
          <w:ilvl w:val="0"/>
          <w:numId w:val="1015"/>
        </w:numPr>
        <w:pStyle w:val="Compact"/>
      </w:pPr>
      <w:r>
        <w:rPr>
          <w:bCs/>
          <w:b/>
        </w:rPr>
        <w:t xml:space="preserve">Material Decarbonization:</w:t>
      </w:r>
      <w:r>
        <w:t xml:space="preserve"> </w:t>
      </w:r>
      <w:r>
        <w:t xml:space="preserve">Investigate opportunities to source lower-carbon alternative materials (e.g., recycled aluminum, bio-based plastics) or work with suppliers to reduce the embodied carbon of existing components.</w:t>
      </w:r>
    </w:p>
    <w:p>
      <w:pPr>
        <w:numPr>
          <w:ilvl w:val="0"/>
          <w:numId w:val="1015"/>
        </w:numPr>
        <w:pStyle w:val="Compact"/>
      </w:pPr>
      <w:r>
        <w:rPr>
          <w:bCs/>
          <w:b/>
        </w:rPr>
        <w:t xml:space="preserve">Increase Renewable Energy in Manufacturing:</w:t>
      </w:r>
      <w:r>
        <w:t xml:space="preserve"> </w:t>
      </w:r>
      <w:r>
        <w:t xml:space="preserve">While 70% renewable energy is commendable, striving for 100% renewable energy in manufacturing operations in China would further reduce Scope 2 emissions.</w:t>
      </w:r>
    </w:p>
    <w:p>
      <w:pPr>
        <w:numPr>
          <w:ilvl w:val="0"/>
          <w:numId w:val="1015"/>
        </w:numPr>
        <w:pStyle w:val="Compact"/>
      </w:pPr>
      <w:r>
        <w:rPr>
          <w:bCs/>
          <w:b/>
        </w:rPr>
        <w:t xml:space="preserve">Enhance Circularity:</w:t>
      </w:r>
      <w:r>
        <w:t xml:space="preserve"> </w:t>
      </w:r>
      <w:r>
        <w:t xml:space="preserve">Continue to strengthen and expand the existing take-back programs to maximize the actual recycling rates and minimize waste going to landfill, potentially increasing the avoided emissions credit. Investigate design for disassembly and modularity to facilitate repair and material recovery.</w:t>
      </w:r>
    </w:p>
    <w:p>
      <w:pPr>
        <w:numPr>
          <w:ilvl w:val="0"/>
          <w:numId w:val="1015"/>
        </w:numPr>
        <w:pStyle w:val="Compact"/>
      </w:pPr>
      <w:r>
        <w:rPr>
          <w:bCs/>
          <w:b/>
        </w:rPr>
        <w:t xml:space="preserve">Logistics Optimization:</w:t>
      </w:r>
      <w:r>
        <w:t xml:space="preserve"> </w:t>
      </w:r>
      <w:r>
        <w:t xml:space="preserve">Explore more efficient transport modes (e.g., rail, sea freight for longer distances instead of road freight where feasible) or optimize load factors to reduce emissions per tonne-km.</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xkfrpvjeum</dc:title>
  <dc:creator/>
  <dc:description>Detailed Product Carbon Footprint (PCF) analysis for xkfrpvjeum, adhering to GHG Protocol standards and 2026 LSR updates, conducted by unltktfkqw for jwypftpqmp.</dc:description>
  <dc:language>en</dc:language>
  <cp:keywords/>
  <dcterms:created xsi:type="dcterms:W3CDTF">2026-07-15T20:39:06Z</dcterms:created>
  <dcterms:modified xsi:type="dcterms:W3CDTF">2026-07-15T20:39:06Z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