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xjtjsmkplo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xjtjsmkplo</w:t>
      </w:r>
    </w:p>
    <w:p>
      <w:pPr>
        <w:pStyle w:val="BodyText"/>
      </w:pPr>
      <w:r>
        <w:t xml:space="preserve">Company: fmhqqqkitq</w:t>
      </w:r>
    </w:p>
    <w:p>
      <w:pPr>
        <w:pStyle w:val="BodyText"/>
      </w:pPr>
      <w:r>
        <w:t xml:space="preserve">Accounting Standard: GHG Protocol</w:t>
      </w:r>
    </w:p>
    <w:p>
      <w:pPr>
        <w:pStyle w:val="BodyText"/>
      </w:pPr>
      <w:r>
        <w:t xml:space="preserve">Senior Sustainability Consultant: ydkeyelvwp</w:t>
      </w:r>
    </w:p>
    <w:p>
      <w:pPr>
        <w:pStyle w:val="BodyText"/>
      </w:pPr>
      <w:r>
        <w:t xml:space="preserve">This report is generated based on available data and industry standards. While efforts have been made for accuracy, certain assumptions have been made due to the nature of generic input parameters. It serves as a comprehensive estimate for internal strategic planning and external communication purposes.</w:t>
      </w:r>
    </w:p>
    <w:bookmarkEnd w:id="20"/>
    <w:bookmarkStart w:id="4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xjtjsmkplo</w:t>
      </w:r>
      <w:r>
        <w:t xml:space="preserve">, manufactured by</w:t>
      </w:r>
      <w:r>
        <w:t xml:space="preserve"> </w:t>
      </w:r>
      <w:r>
        <w:rPr>
          <w:bCs/>
          <w:b/>
        </w:rPr>
        <w:t xml:space="preserve">fmhqqqkitq</w:t>
      </w:r>
      <w:r>
        <w:t xml:space="preserve">. The assessment adheres to the</w:t>
      </w:r>
      <w:r>
        <w:t xml:space="preserve"> </w:t>
      </w:r>
      <w:r>
        <w:rPr>
          <w:bCs/>
          <w:b/>
        </w:rPr>
        <w:t xml:space="preserve">GHG Protocol</w:t>
      </w:r>
      <w:r>
        <w:t xml:space="preserve"> </w:t>
      </w:r>
      <w:r>
        <w:t xml:space="preserve">standards, including considerations for the 2026 Land Sector and Removals (LSR) update. Conducted by Senior Sustainability Consultant</w:t>
      </w:r>
      <w:r>
        <w:t xml:space="preserve"> </w:t>
      </w:r>
      <w:r>
        <w:rPr>
          <w:bCs/>
          <w:b/>
        </w:rPr>
        <w:t xml:space="preserve">ydkeyelvwp</w:t>
      </w:r>
      <w:r>
        <w:t xml:space="preserve">, this analysis covers the lifecycle stages up to the factory gate, with extended insights into the use phase and end-of-life scenarios. The primary goal is to identify key emission hotspots and provide a robust baseline for sustainability improvements.</w:t>
      </w:r>
    </w:p>
    <w:p>
      <w:pPr>
        <w:pStyle w:val="BodyText"/>
      </w:pPr>
      <w:r>
        <w:t xml:space="preserve">The total Product Carbon Footprint for</w:t>
      </w:r>
      <w:r>
        <w:t xml:space="preserve"> </w:t>
      </w:r>
      <w:r>
        <w:rPr>
          <w:bCs/>
          <w:b/>
        </w:rPr>
        <w:t xml:space="preserve">xjtjsmkplo</w:t>
      </w:r>
      <w:r>
        <w:t xml:space="preserve">, based on a functional unit of 1.0 unit and a</w:t>
      </w:r>
      <w:r>
        <w:t xml:space="preserve"> </w:t>
      </w:r>
      <w:r>
        <w:rPr>
          <w:bCs/>
          <w:b/>
        </w:rPr>
        <w:t xml:space="preserve">factory_gate</w:t>
      </w:r>
      <w:r>
        <w:t xml:space="preserve"> </w:t>
      </w:r>
      <w:r>
        <w:t xml:space="preserve">system boundary, is calculated by summing the impacts from raw material acquisition, manufacturing, and relevant transport up to the point of sale. Additional insights into the Use Phase and End-of-Life provide a holistic view of the product\'s environmental performance throughout its lifespan.</w:t>
      </w:r>
    </w:p>
    <w:p>
      <w:r>
        <w:pict>
          <v:rect style="width:0;height:1.5pt" o:hralign="center" o:hrstd="t" o:hr="t"/>
        </w:pict>
      </w:r>
    </w:p>
    <w:bookmarkEnd w:id="21"/>
    <w:bookmarkStart w:id="26" w:name="scope-definition"/>
    <w:p>
      <w:pPr>
        <w:pStyle w:val="Heading2"/>
      </w:pPr>
      <w:r>
        <w:t xml:space="preserve">1. Scope Definition</w:t>
      </w:r>
    </w:p>
    <w:p>
      <w:pPr>
        <w:pStyle w:val="FirstParagraph"/>
      </w:pPr>
      <w:r>
        <w:t xml:space="preserve">This section defines the fundamental parameters governing the Product Carbon Footprint (PCF) analysis for xjtjsmkplo, ensuring clarity and consistency in the assessment.</w:t>
      </w:r>
    </w:p>
    <w:bookmarkStart w:id="22"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xjtjsmkplo</w:t>
      </w:r>
      <w:r>
        <w:t xml:space="preserve">. This represents the reference unit to which all environmental impacts are normalized.</w:t>
      </w:r>
    </w:p>
    <w:bookmarkEnd w:id="22"/>
    <w:bookmarkStart w:id="23" w:name="system-boundary"/>
    <w:p>
      <w:pPr>
        <w:pStyle w:val="Heading3"/>
      </w:pPr>
      <w:r>
        <w:t xml:space="preserve">1.2. System Boundary</w:t>
      </w:r>
    </w:p>
    <w:p>
      <w:pPr>
        <w:numPr>
          <w:ilvl w:val="0"/>
          <w:numId w:val="1002"/>
        </w:numPr>
        <w:pStyle w:val="Compact"/>
      </w:pPr>
      <w:r>
        <w:t xml:space="preserve">The primary system boundary for the PCF calculation is</w:t>
      </w:r>
      <w:r>
        <w:t xml:space="preserve"> </w:t>
      </w:r>
      <w:r>
        <w:rPr>
          <w:bCs/>
          <w:b/>
        </w:rPr>
        <w:t xml:space="preserve">\'factory_gate\'</w:t>
      </w:r>
      <w:r>
        <w:t xml:space="preserve">. This includes all greenhouse gas emissions associated with:</w:t>
      </w:r>
    </w:p>
    <w:p>
      <w:pPr>
        <w:numPr>
          <w:ilvl w:val="1"/>
          <w:numId w:val="1003"/>
        </w:numPr>
        <w:pStyle w:val="Compact"/>
      </w:pPr>
      <w:r>
        <w:t xml:space="preserve">Raw material extraction and processing (cradle-to-gate of material supplier).</w:t>
      </w:r>
    </w:p>
    <w:p>
      <w:pPr>
        <w:numPr>
          <w:ilvl w:val="1"/>
          <w:numId w:val="1003"/>
        </w:numPr>
        <w:pStyle w:val="Compact"/>
      </w:pPr>
      <w:r>
        <w:t xml:space="preserve">Transportation of raw materials to the manufacturing facility.</w:t>
      </w:r>
    </w:p>
    <w:p>
      <w:pPr>
        <w:numPr>
          <w:ilvl w:val="1"/>
          <w:numId w:val="1003"/>
        </w:numPr>
        <w:pStyle w:val="Compact"/>
      </w:pPr>
      <w:r>
        <w:t xml:space="preserve">Manufacturing processes at the fmhqqqkitq facility (Scope 1 and 2 emissions).</w:t>
      </w:r>
    </w:p>
    <w:p>
      <w:pPr>
        <w:numPr>
          <w:ilvl w:val="0"/>
          <w:numId w:val="1002"/>
        </w:numPr>
        <w:pStyle w:val="Compact"/>
      </w:pPr>
      <w:r>
        <w:t xml:space="preserve">For a more comprehensive understanding and in line with advanced GHG Protocol reporting, this report also provides an indicative assessment of the \'Use Phase\' and \'End-of-Life\' impacts, even though they fall outside the strict \'factory_gate\' boundary. These extended phases are presented for informational purposes to highlight potential downstream impacts and circularity opportunities.</w:t>
      </w:r>
    </w:p>
    <w:bookmarkEnd w:id="23"/>
    <w:bookmarkStart w:id="24"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that raw material sourcing and initial processing primarily occur within Europe before being transported to the manufacturing facility in China.</w:t>
      </w:r>
    </w:p>
    <w:bookmarkEnd w:id="24"/>
    <w:bookmarkStart w:id="25" w:name="allocation"/>
    <w:p>
      <w:pPr>
        <w:pStyle w:val="Heading3"/>
      </w:pPr>
      <w:r>
        <w:t xml:space="preserve">1.4. Allocation</w:t>
      </w:r>
    </w:p>
    <w:p>
      <w:pPr>
        <w:numPr>
          <w:ilvl w:val="0"/>
          <w:numId w:val="1005"/>
        </w:numPr>
        <w:pStyle w:val="Compact"/>
      </w:pPr>
      <w:r>
        <w:t xml:space="preserve">Where shared processes or facilities are involved (e.g., utility consumption or waste treatment for multiple products), emissions are allocated based on mass for raw materials and energy consumption directly attributable to the production of</w:t>
      </w:r>
      <w:r>
        <w:t xml:space="preserve"> </w:t>
      </w:r>
      <w:r>
        <w:rPr>
          <w:bCs/>
          <w:b/>
        </w:rPr>
        <w:t xml:space="preserve">xjtjsmkplo</w:t>
      </w:r>
      <w:r>
        <w:t xml:space="preserve">. Given the detailed Bill of Materials (BOM), direct allocation is prioritized for material-specific impacts.</w:t>
      </w:r>
    </w:p>
    <w:p>
      <w:r>
        <w:pict>
          <v:rect style="width:0;height:1.5pt" o:hralign="center" o:hrstd="t" o:hr="t"/>
        </w:pict>
      </w:r>
    </w:p>
    <w:bookmarkEnd w:id="25"/>
    <w:bookmarkEnd w:id="26"/>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data points collected for the Product Carbon Footprint analysis of</w:t>
      </w:r>
      <w:r>
        <w:t xml:space="preserve"> </w:t>
      </w:r>
      <w:r>
        <w:rPr>
          <w:bCs/>
          <w:b/>
        </w:rPr>
        <w:t xml:space="preserve">xjtjsmkplo</w:t>
      </w:r>
      <w:r>
        <w:t xml:space="preserve">. Emission factors from recognized industry databases (e.g., Ecoinvent, DEFRA) are applied, with specific assumptions made for placeholder parameters as detailed below. All Scope 3 categories required for comprehensive reporting are addressed.</w:t>
      </w:r>
    </w:p>
    <w:bookmarkStart w:id="27" w:name="X06a032b4b904b4e0c4cbf2970bc9aee5d87af00"/>
    <w:p>
      <w:pPr>
        <w:pStyle w:val="Heading3"/>
      </w:pPr>
      <w:r>
        <w:t xml:space="preserve">2.1. Raw Material Acquisition and Pre-processing (Scope 3 - Upstream)</w:t>
      </w:r>
    </w:p>
    <w:p>
      <w:pPr>
        <w:pStyle w:val="FirstParagraph"/>
      </w:pPr>
      <w:r>
        <w:t xml:space="preserve">The following Bill of Materials (BOM) provides a high-accuracy calculation of material impacts. Each item\'s "Total Carbon" value is directly used as provided, representing the cradle-to-gate emissions for that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Detailed BOM Item A</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MAT002</w:t>
            </w:r>
          </w:p>
        </w:tc>
        <w:tc>
          <w:tcPr/>
          <w:p>
            <w:pPr>
              <w:pStyle w:val="Compact"/>
              <w:jc w:val="left"/>
            </w:pPr>
            <w:r>
              <w:t xml:space="preserve">Detailed BOM Item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3.0</w:t>
            </w:r>
          </w:p>
        </w:tc>
        <w:tc>
          <w:tcPr/>
          <w:p>
            <w:pPr>
              <w:pStyle w:val="Compact"/>
              <w:jc w:val="left"/>
            </w:pPr>
            <w:r>
              <w:t xml:space="preserve">kg</w:t>
            </w:r>
          </w:p>
        </w:tc>
        <w:tc>
          <w:tcPr/>
          <w:p>
            <w:pPr>
              <w:pStyle w:val="Compact"/>
              <w:jc w:val="left"/>
            </w:pPr>
            <w:r>
              <w:t xml:space="preserve">2.5</w:t>
            </w:r>
          </w:p>
        </w:tc>
        <w:tc>
          <w:tcPr/>
          <w:p>
            <w:pPr>
              <w:pStyle w:val="Compact"/>
              <w:jc w:val="left"/>
            </w:pPr>
            <w:r>
              <w:t xml:space="preserve">7.5</w:t>
            </w:r>
          </w:p>
        </w:tc>
      </w:tr>
      <w:tr>
        <w:tc>
          <w:tcPr/>
          <w:p>
            <w:pPr>
              <w:pStyle w:val="Compact"/>
              <w:jc w:val="left"/>
            </w:pPr>
            <w:r>
              <w:t xml:space="preserve">MAT003</w:t>
            </w:r>
          </w:p>
        </w:tc>
        <w:tc>
          <w:tcPr/>
          <w:p>
            <w:pPr>
              <w:pStyle w:val="Compact"/>
              <w:jc w:val="left"/>
            </w:pPr>
            <w:r>
              <w:t xml:space="preserve">Detailed BOM Item C</w:t>
            </w:r>
          </w:p>
        </w:tc>
        <w:tc>
          <w:tcPr/>
          <w:p>
            <w:pPr>
              <w:pStyle w:val="Compact"/>
              <w:jc w:val="left"/>
            </w:pPr>
            <w:r>
              <w:t xml:space="preserve">Electronics</w:t>
            </w:r>
          </w:p>
        </w:tc>
        <w:tc>
          <w:tcPr/>
          <w:p>
            <w:pPr>
              <w:pStyle w:val="Compact"/>
              <w:jc w:val="left"/>
            </w:pPr>
            <w:r>
              <w:t xml:space="preserve">Component Fabrication</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MAT004</w:t>
            </w:r>
          </w:p>
        </w:tc>
        <w:tc>
          <w:tcPr/>
          <w:p>
            <w:pPr>
              <w:pStyle w:val="Compact"/>
              <w:jc w:val="left"/>
            </w:pPr>
            <w:r>
              <w:t xml:space="preserve">Detailed BOM Item 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1.0</w:t>
            </w:r>
          </w:p>
        </w:tc>
        <w:tc>
          <w:tcPr/>
          <w:p>
            <w:pPr>
              <w:pStyle w:val="Compact"/>
              <w:jc w:val="left"/>
            </w:pPr>
            <w:r>
              <w:t xml:space="preserve">1.5</w:t>
            </w:r>
          </w:p>
        </w:tc>
      </w:tr>
    </w:tbl>
    <w:p>
      <w:pPr>
        <w:pStyle w:val="BodyText"/>
      </w:pPr>
      <w:r>
        <w:rPr>
          <w:bCs/>
          <w:b/>
        </w:rPr>
        <w:t xml:space="preserve">Assumed Material Sourcing for Supply Chain Focus:</w:t>
      </w:r>
      <w:r>
        <w:t xml:space="preserve"> </w:t>
      </w:r>
      <w:r>
        <w:t xml:space="preserve">Materials are assumed to be sourced primarily from Europe, reflecting the "Europe Focused" supply chain, then transported to China for final production.</w:t>
      </w:r>
    </w:p>
    <w:p>
      <w:pPr>
        <w:pStyle w:val="BodyText"/>
      </w:pPr>
      <w:r>
        <w:rPr>
          <w:bCs/>
          <w:b/>
        </w:rPr>
        <w:t xml:space="preserve">Total Carbon from Materials (Sum of \'Total Carbon\' column):</w:t>
      </w:r>
      <w:r>
        <w:t xml:space="preserve"> </w:t>
      </w:r>
      <w:r>
        <w:t xml:space="preserve">66.5 kg CO2e (Based on example BOM data).</w:t>
      </w:r>
    </w:p>
    <w:bookmarkEnd w:id="27"/>
    <w:bookmarkStart w:id="28" w:name="transportation-scope-3---upstream"/>
    <w:p>
      <w:pPr>
        <w:pStyle w:val="Heading3"/>
      </w:pPr>
      <w:r>
        <w:t xml:space="preserve">2.2. Transportation (Scope 3 - Upstream)</w:t>
      </w:r>
    </w:p>
    <w:p>
      <w:pPr>
        <w:pStyle w:val="FirstParagraph"/>
      </w:pPr>
      <w:r>
        <w:t xml:space="preserve">This category includes the transportation of raw materials from suppliers to the manufacturing facility in China.</w:t>
      </w:r>
    </w:p>
    <w:p>
      <w:pPr>
        <w:numPr>
          <w:ilvl w:val="0"/>
          <w:numId w:val="1006"/>
        </w:numPr>
        <w:pStyle w:val="Compact"/>
      </w:pPr>
      <w:r>
        <w:rPr>
          <w:bCs/>
          <w:b/>
        </w:rPr>
        <w:t xml:space="preserve">Transport Mode:</w:t>
      </w:r>
      <w:r>
        <w:t xml:space="preserve"> </w:t>
      </w:r>
      <w:r>
        <w:t xml:space="preserve">Road Freight (HGV &gt; 3.5t) [Assumed from "Select Mode"]</w:t>
      </w:r>
    </w:p>
    <w:p>
      <w:pPr>
        <w:numPr>
          <w:ilvl w:val="0"/>
          <w:numId w:val="1006"/>
        </w:numPr>
        <w:pStyle w:val="Compact"/>
      </w:pPr>
      <w:r>
        <w:rPr>
          <w:bCs/>
          <w:b/>
        </w:rPr>
        <w:t xml:space="preserve">Average Transport Distance (inbound):</w:t>
      </w:r>
      <w:r>
        <w:t xml:space="preserve"> </w:t>
      </w:r>
      <w:r>
        <w:t xml:space="preserve">500 km [Assumed from "kjexmvmojd"]</w:t>
      </w:r>
    </w:p>
    <w:p>
      <w:pPr>
        <w:numPr>
          <w:ilvl w:val="0"/>
          <w:numId w:val="1006"/>
        </w:numPr>
        <w:pStyle w:val="Compact"/>
      </w:pPr>
      <w:r>
        <w:rPr>
          <w:bCs/>
          <w:b/>
        </w:rPr>
        <w:t xml:space="preserve">Average Material Mass per unit of xjtjsmkplo:</w:t>
      </w:r>
      <w:r>
        <w:t xml:space="preserve"> </w:t>
      </w:r>
      <w:r>
        <w:t xml:space="preserve">~15.0 kg (sum of Qty from example BOM: 10.0 + 3.0 + 0.5 + 1.5 = 15.0 kg)</w:t>
      </w:r>
    </w:p>
    <w:p>
      <w:pPr>
        <w:numPr>
          <w:ilvl w:val="0"/>
          <w:numId w:val="1006"/>
        </w:numPr>
        <w:pStyle w:val="Compact"/>
      </w:pPr>
      <w:r>
        <w:rPr>
          <w:bCs/>
          <w:b/>
        </w:rPr>
        <w:t xml:space="preserve">Emission Factor (Road Freight HGV &gt; 3.5t):</w:t>
      </w:r>
      <w:r>
        <w:t xml:space="preserve"> </w:t>
      </w:r>
      <w:r>
        <w:t xml:space="preserve">0.1 kg CO2e/tonne-km [Industry Standard Assumption (e.g., DEFRA)]</w:t>
      </w:r>
    </w:p>
    <w:p>
      <w:pPr>
        <w:numPr>
          <w:ilvl w:val="0"/>
          <w:numId w:val="1006"/>
        </w:numPr>
        <w:pStyle w:val="Compact"/>
      </w:pPr>
      <w:r>
        <w:rPr>
          <w:bCs/>
          <w:b/>
        </w:rPr>
        <w:t xml:space="preserve">Transport Emissions (inbound):</w:t>
      </w:r>
      <w:r>
        <w:t xml:space="preserve"> </w:t>
      </w:r>
      <w:r>
        <w:t xml:space="preserve">(15.0 kg * 0.001 t/kg) * 500 km * 0.1 kg CO2e/tonne-km = 0.75 kg CO2e/unit.</w:t>
      </w:r>
    </w:p>
    <w:p>
      <w:pPr>
        <w:numPr>
          <w:ilvl w:val="0"/>
          <w:numId w:val="1006"/>
        </w:numPr>
        <w:pStyle w:val="Compact"/>
      </w:pPr>
      <w:r>
        <w:rPr>
          <w:bCs/>
          <w:b/>
        </w:rPr>
        <w:t xml:space="preserve">Last-Mile Delivery Channel:</w:t>
      </w:r>
      <w:r>
        <w:t xml:space="preserve"> </w:t>
      </w:r>
      <w:r>
        <w:t xml:space="preserve">Road Freight (Van/Lorry &lt; 3.5t) [Assumed from "Delivery Type"]</w:t>
      </w:r>
    </w:p>
    <w:p>
      <w:pPr>
        <w:numPr>
          <w:ilvl w:val="0"/>
          <w:numId w:val="1006"/>
        </w:numPr>
        <w:pStyle w:val="Compact"/>
      </w:pPr>
      <w:r>
        <w:rPr>
          <w:bCs/>
          <w:b/>
        </w:rPr>
        <w:t xml:space="preserve">Last-Mile Distance:</w:t>
      </w:r>
      <w:r>
        <w:t xml:space="preserve"> </w:t>
      </w:r>
      <w:r>
        <w:t xml:space="preserve">100 km [Assumed for illustration]</w:t>
      </w:r>
    </w:p>
    <w:p>
      <w:pPr>
        <w:numPr>
          <w:ilvl w:val="0"/>
          <w:numId w:val="1006"/>
        </w:numPr>
        <w:pStyle w:val="Compact"/>
      </w:pPr>
      <w:r>
        <w:rPr>
          <w:bCs/>
          <w:b/>
        </w:rPr>
        <w:t xml:space="preserve">Emission Factor (Road Freight Van):</w:t>
      </w:r>
      <w:r>
        <w:t xml:space="preserve"> </w:t>
      </w:r>
      <w:r>
        <w:t xml:space="preserve">0.2 kg CO2e/tonne-km [Industry Standard Assumption (e.g., DEFRA)]</w:t>
      </w:r>
    </w:p>
    <w:p>
      <w:pPr>
        <w:numPr>
          <w:ilvl w:val="0"/>
          <w:numId w:val="1006"/>
        </w:numPr>
        <w:pStyle w:val="Compact"/>
      </w:pPr>
      <w:r>
        <w:rPr>
          <w:bCs/>
          <w:b/>
        </w:rPr>
        <w:t xml:space="preserve">Last-Mile Emissions:</w:t>
      </w:r>
      <w:r>
        <w:t xml:space="preserve"> </w:t>
      </w:r>
      <w:r>
        <w:t xml:space="preserve">(15.0 kg * 0.001 t/kg) * 100 km * 0.2 kg CO2e/tonne-km = 0.30 kg CO2e/unit.</w:t>
      </w:r>
    </w:p>
    <w:p>
      <w:pPr>
        <w:numPr>
          <w:ilvl w:val="0"/>
          <w:numId w:val="1006"/>
        </w:numPr>
        <w:pStyle w:val="Compact"/>
      </w:pPr>
      <w:r>
        <w:rPr>
          <w:bCs/>
          <w:b/>
        </w:rPr>
        <w:t xml:space="preserve">Total Transport (Upstream) Emissions:</w:t>
      </w:r>
      <w:r>
        <w:t xml:space="preserve"> </w:t>
      </w:r>
      <w:r>
        <w:t xml:space="preserve">1.05 kg CO2e/unit</w:t>
      </w:r>
    </w:p>
    <w:p>
      <w:pPr>
        <w:pStyle w:val="FirstParagraph"/>
      </w:pPr>
      <w:r>
        <w:rPr>
          <w:iCs/>
          <w:i/>
        </w:rPr>
        <w:t xml:space="preserve">Note: The "factory_gate" boundary technically excludes outbound transport to the customer, but last-mile delivery is mentioned in parameters. For a comprehensive view, we include an indicative last-mile impact, categorizing it for completeness.</w:t>
      </w:r>
    </w:p>
    <w:bookmarkEnd w:id="28"/>
    <w:bookmarkStart w:id="29" w:name="X4b6530bf16f2691548633c51c0943eb03e8ce91"/>
    <w:p>
      <w:pPr>
        <w:pStyle w:val="Heading3"/>
      </w:pPr>
      <w:r>
        <w:t xml:space="preserve">2.3. Manufacturing (Scope 1 &amp; 2 - Direct Operations)</w:t>
      </w:r>
    </w:p>
    <w:p>
      <w:pPr>
        <w:pStyle w:val="FirstParagraph"/>
      </w:pPr>
      <w:r>
        <w:t xml:space="preserve">This covers emissions from the production processes at the</w:t>
      </w:r>
      <w:r>
        <w:t xml:space="preserve"> </w:t>
      </w:r>
      <w:r>
        <w:rPr>
          <w:bCs/>
          <w:b/>
        </w:rPr>
        <w:t xml:space="preserve">fmhqqqkitq</w:t>
      </w:r>
      <w:r>
        <w:t xml:space="preserve"> </w:t>
      </w:r>
      <w:r>
        <w:t xml:space="preserve">facility in China.</w:t>
      </w:r>
    </w:p>
    <w:p>
      <w:pPr>
        <w:numPr>
          <w:ilvl w:val="0"/>
          <w:numId w:val="1007"/>
        </w:numPr>
        <w:pStyle w:val="Compact"/>
      </w:pPr>
      <w:r>
        <w:rPr>
          <w:bCs/>
          <w:b/>
        </w:rPr>
        <w:t xml:space="preserve">Energy Intensity (kWh/unit):</w:t>
      </w:r>
      <w:r>
        <w:t xml:space="preserve"> </w:t>
      </w:r>
      <w:r>
        <w:t xml:space="preserve">15 kWh/unit [Assumed from "zplpszvkhd"]</w:t>
      </w:r>
    </w:p>
    <w:p>
      <w:pPr>
        <w:numPr>
          <w:ilvl w:val="0"/>
          <w:numId w:val="1007"/>
        </w:numPr>
        <w:pStyle w:val="Compact"/>
      </w:pPr>
      <w:r>
        <w:rPr>
          <w:bCs/>
          <w:b/>
        </w:rPr>
        <w:t xml:space="preserve">Renewable Energy Usage:</w:t>
      </w:r>
      <w:r>
        <w:t xml:space="preserve"> </w:t>
      </w:r>
      <w:r>
        <w:t xml:space="preserve">50% [Assumed from "lwzoziklxj"]</w:t>
      </w:r>
    </w:p>
    <w:p>
      <w:pPr>
        <w:numPr>
          <w:ilvl w:val="0"/>
          <w:numId w:val="1007"/>
        </w:numPr>
        <w:pStyle w:val="Compact"/>
      </w:pPr>
      <w:r>
        <w:rPr>
          <w:bCs/>
          <w:b/>
        </w:rPr>
        <w:t xml:space="preserve">Grid Electricity Emission Factor (China, average):</w:t>
      </w:r>
      <w:r>
        <w:t xml:space="preserve"> </w:t>
      </w:r>
      <w:r>
        <w:t xml:space="preserve">0.7 kg CO2e/kWh [Industry Standard - IEA 2023, adjusted for renewable usage].</w:t>
      </w:r>
    </w:p>
    <w:p>
      <w:pPr>
        <w:numPr>
          <w:ilvl w:val="0"/>
          <w:numId w:val="1007"/>
        </w:numPr>
        <w:pStyle w:val="Compact"/>
      </w:pPr>
      <w:r>
        <w:rPr>
          <w:bCs/>
          <w:b/>
        </w:rPr>
        <w:t xml:space="preserve">Effective Grid Emission Factor (with 50% renewable):</w:t>
      </w:r>
      <w:r>
        <w:t xml:space="preserve"> </w:t>
      </w:r>
      <w:r>
        <w:t xml:space="preserve">0.7 kg CO2e/kWh * (1 - 0.50) = 0.35 kg CO2e/kWh.</w:t>
      </w:r>
    </w:p>
    <w:p>
      <w:pPr>
        <w:numPr>
          <w:ilvl w:val="0"/>
          <w:numId w:val="1007"/>
        </w:numPr>
        <w:pStyle w:val="Compact"/>
      </w:pPr>
      <w:r>
        <w:rPr>
          <w:bCs/>
          <w:b/>
        </w:rPr>
        <w:t xml:space="preserve">Scope 2 Emissions (Purchased Electricity):</w:t>
      </w:r>
      <w:r>
        <w:t xml:space="preserve"> </w:t>
      </w:r>
      <w:r>
        <w:t xml:space="preserve">15 kWh/unit * 0.35 kg CO2e/kWh = 5.25 kg CO2e/unit.</w:t>
      </w:r>
    </w:p>
    <w:p>
      <w:pPr>
        <w:numPr>
          <w:ilvl w:val="0"/>
          <w:numId w:val="1007"/>
        </w:numPr>
        <w:pStyle w:val="Compact"/>
      </w:pPr>
      <w:r>
        <w:rPr>
          <w:bCs/>
          <w:b/>
        </w:rPr>
        <w:t xml:space="preserve">Scope 1 Emissions (Direct Fuel Combustion, e.g., for heating/processes):</w:t>
      </w:r>
      <w:r>
        <w:t xml:space="preserve"> </w:t>
      </w:r>
      <w:r>
        <w:t xml:space="preserve">Assumed negligible or included in energy intensity for simplicity, as no specific direct fuel data was provided. For this report, we assume minimal direct emissions from manufacturing.</w:t>
      </w:r>
    </w:p>
    <w:p>
      <w:pPr>
        <w:numPr>
          <w:ilvl w:val="0"/>
          <w:numId w:val="1007"/>
        </w:numPr>
        <w:pStyle w:val="Compact"/>
      </w:pPr>
      <w:r>
        <w:rPr>
          <w:bCs/>
          <w:b/>
        </w:rPr>
        <w:t xml:space="preserve">Total Manufacturing Emissions (Scope 2):</w:t>
      </w:r>
      <w:r>
        <w:t xml:space="preserve"> </w:t>
      </w:r>
      <w:r>
        <w:t xml:space="preserve">5.25 kg CO2e/unit</w:t>
      </w:r>
    </w:p>
    <w:bookmarkEnd w:id="29"/>
    <w:bookmarkStart w:id="30" w:name="use-phase-scope-3---downstream"/>
    <w:p>
      <w:pPr>
        <w:pStyle w:val="Heading3"/>
      </w:pPr>
      <w:r>
        <w:t xml:space="preserve">2.4. Use Phase (Scope 3 - Downstream)</w:t>
      </w:r>
    </w:p>
    <w:p>
      <w:pPr>
        <w:pStyle w:val="FirstParagraph"/>
      </w:pPr>
      <w:r>
        <w:t xml:space="preserve">While outside the strict factory_gate boundary, the use phase is crucial for a complete understanding of product impact.</w:t>
      </w:r>
    </w:p>
    <w:p>
      <w:pPr>
        <w:numPr>
          <w:ilvl w:val="0"/>
          <w:numId w:val="1008"/>
        </w:numPr>
        <w:pStyle w:val="Compact"/>
      </w:pPr>
      <w:r>
        <w:rPr>
          <w:bCs/>
          <w:b/>
        </w:rPr>
        <w:t xml:space="preserve">Product Lifespan:</w:t>
      </w:r>
      <w:r>
        <w:t xml:space="preserve"> </w:t>
      </w:r>
      <w:r>
        <w:t xml:space="preserve">5 years [Assumed from "oyjgqlhtvt"]</w:t>
      </w:r>
    </w:p>
    <w:p>
      <w:pPr>
        <w:numPr>
          <w:ilvl w:val="0"/>
          <w:numId w:val="1008"/>
        </w:numPr>
        <w:pStyle w:val="Compact"/>
      </w:pPr>
      <w:r>
        <w:rPr>
          <w:bCs/>
          <w:b/>
        </w:rPr>
        <w:t xml:space="preserve">Energy Consumption in Use (per year):</w:t>
      </w:r>
      <w:r>
        <w:t xml:space="preserve"> </w:t>
      </w:r>
      <w:r>
        <w:t xml:space="preserve">20 kWh/year [Assumed from "ffzxnxvhyf"]</w:t>
      </w:r>
    </w:p>
    <w:p>
      <w:pPr>
        <w:numPr>
          <w:ilvl w:val="0"/>
          <w:numId w:val="1008"/>
        </w:numPr>
        <w:pStyle w:val="Compact"/>
      </w:pPr>
      <w:r>
        <w:rPr>
          <w:bCs/>
          <w:b/>
        </w:rPr>
        <w:t xml:space="preserve">Total Energy Consumption over Lifespan:</w:t>
      </w:r>
      <w:r>
        <w:t xml:space="preserve"> </w:t>
      </w:r>
      <w:r>
        <w:t xml:space="preserve">20 kWh/year * 5 years = 100 kWh/unit.</w:t>
      </w:r>
    </w:p>
    <w:p>
      <w:pPr>
        <w:numPr>
          <w:ilvl w:val="0"/>
          <w:numId w:val="1008"/>
        </w:numPr>
        <w:pStyle w:val="Compact"/>
      </w:pPr>
      <w:r>
        <w:rPr>
          <w:bCs/>
          <w:b/>
        </w:rPr>
        <w:t xml:space="preserve">Average Grid Electricity Emission Factor (Consumer Location - assumed global average):</w:t>
      </w:r>
      <w:r>
        <w:t xml:space="preserve"> </w:t>
      </w:r>
      <w:r>
        <w:t xml:space="preserve">0.45 kg CO2e/kWh [Industry Standard Assumption (e.g., IEA 2023)].</w:t>
      </w:r>
    </w:p>
    <w:p>
      <w:pPr>
        <w:numPr>
          <w:ilvl w:val="0"/>
          <w:numId w:val="1008"/>
        </w:numPr>
        <w:pStyle w:val="Compact"/>
      </w:pPr>
      <w:r>
        <w:rPr>
          <w:bCs/>
          <w:b/>
        </w:rPr>
        <w:t xml:space="preserve">Use Phase Emissions:</w:t>
      </w:r>
      <w:r>
        <w:t xml:space="preserve"> </w:t>
      </w:r>
      <w:r>
        <w:t xml:space="preserve">100 kWh/unit * 0.45 kg CO2e/kWh = 45.0 kg CO2e/unit.</w:t>
      </w:r>
    </w:p>
    <w:bookmarkEnd w:id="30"/>
    <w:bookmarkStart w:id="31" w:name="end-of-life-eol-scope-3---downstream"/>
    <w:p>
      <w:pPr>
        <w:pStyle w:val="Heading3"/>
      </w:pPr>
      <w:r>
        <w:t xml:space="preserve">2.5. End-of-Life (EoL) (Scope 3 - Downstream)</w:t>
      </w:r>
    </w:p>
    <w:p>
      <w:pPr>
        <w:pStyle w:val="FirstParagraph"/>
      </w:pPr>
      <w:r>
        <w:t xml:space="preserve">This covers the disposal and recycling of the product at the end of its useful life.</w:t>
      </w:r>
    </w:p>
    <w:p>
      <w:pPr>
        <w:numPr>
          <w:ilvl w:val="0"/>
          <w:numId w:val="1009"/>
        </w:numPr>
        <w:pStyle w:val="Compact"/>
      </w:pPr>
      <w:r>
        <w:rPr>
          <w:bCs/>
          <w:b/>
        </w:rPr>
        <w:t xml:space="preserve">Recyclability Percentage:</w:t>
      </w:r>
      <w:r>
        <w:t xml:space="preserve"> </w:t>
      </w:r>
      <w:r>
        <w:t xml:space="preserve">70% [Assumed from "sfutnlotpp"]</w:t>
      </w:r>
    </w:p>
    <w:p>
      <w:pPr>
        <w:numPr>
          <w:ilvl w:val="0"/>
          <w:numId w:val="1009"/>
        </w:numPr>
        <w:pStyle w:val="Compact"/>
      </w:pPr>
      <w:r>
        <w:rPr>
          <w:bCs/>
          <w:b/>
        </w:rPr>
        <w:t xml:space="preserve">Circular/Take-back Programs:</w:t>
      </w:r>
      <w:r>
        <w:t xml:space="preserve"> </w:t>
      </w:r>
      <w:r>
        <w:rPr>
          <w:bCs/>
          <w:b/>
        </w:rPr>
        <w:t xml:space="preserve">fmhqqqkitq operates a take-back program for end-of-life products</w:t>
      </w:r>
      <w:r>
        <w:t xml:space="preserve">, facilitating proper recycling and material recovery [From "lvgivmreyg"].</w:t>
      </w:r>
    </w:p>
    <w:p>
      <w:pPr>
        <w:numPr>
          <w:ilvl w:val="0"/>
          <w:numId w:val="1009"/>
        </w:numPr>
        <w:pStyle w:val="Compact"/>
      </w:pPr>
      <w:r>
        <w:rPr>
          <w:bCs/>
          <w:b/>
        </w:rPr>
        <w:t xml:space="preserve">Assumed EoL Scenario:</w:t>
      </w:r>
      <w:r>
        <w:t xml:space="preserve"> </w:t>
      </w:r>
      <w:r>
        <w:t xml:space="preserve">70% Recycling, 30% Landfill.</w:t>
      </w:r>
    </w:p>
    <w:p>
      <w:pPr>
        <w:numPr>
          <w:ilvl w:val="0"/>
          <w:numId w:val="1009"/>
        </w:numPr>
        <w:pStyle w:val="Compact"/>
      </w:pPr>
      <w:r>
        <w:rPr>
          <w:bCs/>
          <w:b/>
        </w:rPr>
        <w:t xml:space="preserve">Landfill Emission Factor (Mixed Waste):</w:t>
      </w:r>
      <w:r>
        <w:t xml:space="preserve"> </w:t>
      </w:r>
      <w:r>
        <w:t xml:space="preserve">0.5 kg CO2e/kg [Industry Standard Assumption].</w:t>
      </w:r>
    </w:p>
    <w:p>
      <w:pPr>
        <w:numPr>
          <w:ilvl w:val="0"/>
          <w:numId w:val="1009"/>
        </w:numPr>
        <w:pStyle w:val="Compact"/>
      </w:pPr>
      <w:r>
        <w:rPr>
          <w:bCs/>
          <w:b/>
        </w:rPr>
        <w:t xml:space="preserve">Recycling Benefit/Burden:</w:t>
      </w:r>
      <w:r>
        <w:t xml:space="preserve"> </w:t>
      </w:r>
      <w:r>
        <w:t xml:space="preserve">For products with high recyclability, a credit can often be applied due to avoided virgin material production. For simplicity in this illustrative report, we\'ll calculate a net impact, considering the burden of landfill for the un-recycled portion and a conservative approach for recycling benefits.</w:t>
      </w:r>
    </w:p>
    <w:p>
      <w:pPr>
        <w:numPr>
          <w:ilvl w:val="0"/>
          <w:numId w:val="1009"/>
        </w:numPr>
        <w:pStyle w:val="Compact"/>
      </w:pPr>
      <w:r>
        <w:rPr>
          <w:bCs/>
          <w:b/>
        </w:rPr>
        <w:t xml:space="preserve">Product Mass at EoL (estimated):</w:t>
      </w:r>
      <w:r>
        <w:t xml:space="preserve"> </w:t>
      </w:r>
      <w:r>
        <w:t xml:space="preserve">~15.0 kg (from BOM sum).</w:t>
      </w:r>
    </w:p>
    <w:p>
      <w:pPr>
        <w:numPr>
          <w:ilvl w:val="0"/>
          <w:numId w:val="1009"/>
        </w:numPr>
        <w:pStyle w:val="Compact"/>
      </w:pPr>
      <w:r>
        <w:rPr>
          <w:bCs/>
          <w:b/>
        </w:rPr>
        <w:t xml:space="preserve">Landfilled Portion:</w:t>
      </w:r>
      <w:r>
        <w:t xml:space="preserve"> </w:t>
      </w:r>
      <w:r>
        <w:t xml:space="preserve">15.0 kg * 0.30 = 4.5 kg.</w:t>
      </w:r>
    </w:p>
    <w:p>
      <w:pPr>
        <w:numPr>
          <w:ilvl w:val="0"/>
          <w:numId w:val="1009"/>
        </w:numPr>
        <w:pStyle w:val="Compact"/>
      </w:pPr>
      <w:r>
        <w:rPr>
          <w:bCs/>
          <w:b/>
        </w:rPr>
        <w:t xml:space="preserve">Emissions from Landfill:</w:t>
      </w:r>
      <w:r>
        <w:t xml:space="preserve"> </w:t>
      </w:r>
      <w:r>
        <w:t xml:space="preserve">4.5 kg * 0.5 kg CO2e/kg = 2.25 kg CO2e/unit.</w:t>
      </w:r>
    </w:p>
    <w:p>
      <w:pPr>
        <w:numPr>
          <w:ilvl w:val="0"/>
          <w:numId w:val="1009"/>
        </w:numPr>
        <w:pStyle w:val="Compact"/>
      </w:pPr>
      <w:r>
        <w:rPr>
          <w:bCs/>
          <w:b/>
        </w:rPr>
        <w:t xml:space="preserve">Recycling Credit:</w:t>
      </w:r>
      <w:r>
        <w:t xml:space="preserve"> </w:t>
      </w:r>
      <w:r>
        <w:t xml:space="preserve">Assuming a generic credit of -0.5 kg CO2e/kg for recycled materials (this is a simplified representation of avoided emissions).</w:t>
      </w:r>
    </w:p>
    <w:p>
      <w:pPr>
        <w:numPr>
          <w:ilvl w:val="0"/>
          <w:numId w:val="1009"/>
        </w:numPr>
        <w:pStyle w:val="Compact"/>
      </w:pPr>
      <w:r>
        <w:rPr>
          <w:bCs/>
          <w:b/>
        </w:rPr>
        <w:t xml:space="preserve">Recycled Portion:</w:t>
      </w:r>
      <w:r>
        <w:t xml:space="preserve"> </w:t>
      </w:r>
      <w:r>
        <w:t xml:space="preserve">15.0 kg * 0.70 = 10.5 kg.</w:t>
      </w:r>
    </w:p>
    <w:p>
      <w:pPr>
        <w:numPr>
          <w:ilvl w:val="0"/>
          <w:numId w:val="1009"/>
        </w:numPr>
        <w:pStyle w:val="Compact"/>
      </w:pPr>
      <w:r>
        <w:rPr>
          <w:bCs/>
          <w:b/>
        </w:rPr>
        <w:t xml:space="preserve">Recycling Benefit:</w:t>
      </w:r>
      <w:r>
        <w:t xml:space="preserve"> </w:t>
      </w:r>
      <w:r>
        <w:t xml:space="preserve">10.5 kg * -0.5 kg CO2e/kg = -5.25 kg CO2e/unit.</w:t>
      </w:r>
    </w:p>
    <w:p>
      <w:pPr>
        <w:numPr>
          <w:ilvl w:val="0"/>
          <w:numId w:val="1009"/>
        </w:numPr>
        <w:pStyle w:val="Compact"/>
      </w:pPr>
      <w:r>
        <w:rPr>
          <w:bCs/>
          <w:b/>
        </w:rPr>
        <w:t xml:space="preserve">Net End-of-Life Emissions:</w:t>
      </w:r>
      <w:r>
        <w:t xml:space="preserve"> </w:t>
      </w:r>
      <w:r>
        <w:t xml:space="preserve">2.25 kg CO2e/unit - 5.25 kg CO2e/unit = -3.00 kg CO2e/unit.</w:t>
      </w:r>
    </w:p>
    <w:p>
      <w:r>
        <w:pict>
          <v:rect style="width:0;height:1.5pt" o:hralign="center" o:hrstd="t" o:hr="t"/>
        </w:pict>
      </w:r>
    </w:p>
    <w:bookmarkEnd w:id="31"/>
    <w:bookmarkEnd w:id="32"/>
    <w:bookmarkStart w:id="37" w:name="X439a6e6dcb43c636bf515ffaf3f59bce0bd6490"/>
    <w:p>
      <w:pPr>
        <w:pStyle w:val="Heading2"/>
      </w:pPr>
      <w:r>
        <w:t xml:space="preserve">4. Emission Calculation (Activity * Emission Factor = CO2e)</w:t>
      </w:r>
    </w:p>
    <w:p>
      <w:pPr>
        <w:pStyle w:val="FirstParagraph"/>
      </w:pPr>
      <w:r>
        <w:t xml:space="preserve">This section summarizes the calculated emissions for</w:t>
      </w:r>
      <w:r>
        <w:t xml:space="preserve"> </w:t>
      </w:r>
      <w:r>
        <w:rPr>
          <w:bCs/>
          <w:b/>
        </w:rPr>
        <w:t xml:space="preserve">xjtjsmkplo</w:t>
      </w:r>
      <w:r>
        <w:t xml:space="preserve">, categorized according to the GHG Protocol.</w:t>
      </w:r>
    </w:p>
    <w:bookmarkStart w:id="33" w:name="X02ba1666a32ad3f0c12addd389016d0d328bc2c"/>
    <w:p>
      <w:pPr>
        <w:pStyle w:val="Heading3"/>
      </w:pPr>
      <w:r>
        <w:t xml:space="preserve">4.1. GHG Protocol Categorization and Total PCF (Factory Gate)</w:t>
      </w:r>
    </w:p>
    <w:p>
      <w:pPr>
        <w:pStyle w:val="FirstParagraph"/>
      </w:pPr>
      <w:r>
        <w:t xml:space="preserve">The table below provides a breakdown of emissions, aligning with the "factory_gate" system boundary.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 per functional unit)</w:t>
            </w:r>
          </w:p>
        </w:tc>
      </w:tr>
      <w:tr>
        <w:tc>
          <w:tcPr>
            <w:gridSpan w:val="3"/>
          </w:tcPr>
          <w:p>
            <w:pPr>
              <w:pStyle w:val="Compact"/>
              <w:jc w:val="left"/>
            </w:pPr>
            <w:r>
              <w:t xml:space="preserve">Scope 1: Direct Emissions</w:t>
            </w:r>
          </w:p>
        </w:tc>
      </w:tr>
      <w:tr>
        <w:tc>
          <w:tcPr/>
          <w:p>
            <w:pPr>
              <w:pStyle w:val="Compact"/>
              <w:jc w:val="left"/>
            </w:pPr>
            <w:r>
              <w:t xml:space="preserve">Direct Operations</w:t>
            </w:r>
          </w:p>
        </w:tc>
        <w:tc>
          <w:tcPr/>
          <w:p>
            <w:pPr>
              <w:pStyle w:val="Compact"/>
              <w:jc w:val="left"/>
            </w:pPr>
            <w:r>
              <w:t xml:space="preserve">Emissions from direct combustion at fmhqqqkitq facility (e.g., boilers). Assumed negligible for this report due to lack of specific data.</w:t>
            </w:r>
          </w:p>
        </w:tc>
        <w:tc>
          <w:tcPr/>
          <w:p>
            <w:pPr>
              <w:pStyle w:val="Compact"/>
              <w:jc w:val="left"/>
            </w:pPr>
            <w:r>
              <w:t xml:space="preserve">0.00</w:t>
            </w:r>
          </w:p>
        </w:tc>
      </w:tr>
      <w:tr>
        <w:tc>
          <w:tcPr>
            <w:gridSpan w:val="3"/>
          </w:tcPr>
          <w:p>
            <w:pPr>
              <w:pStyle w:val="Compact"/>
              <w:jc w:val="left"/>
            </w:pPr>
            <w:r>
              <w:t xml:space="preserve">Scope 2: Energy Indirect Emissions</w:t>
            </w:r>
          </w:p>
        </w:tc>
      </w:tr>
      <w:tr>
        <w:tc>
          <w:tcPr/>
          <w:p>
            <w:pPr>
              <w:pStyle w:val="Compact"/>
              <w:jc w:val="left"/>
            </w:pPr>
            <w:r>
              <w:t xml:space="preserve">Purchased Electricity</w:t>
            </w:r>
          </w:p>
        </w:tc>
        <w:tc>
          <w:tcPr/>
          <w:p>
            <w:pPr>
              <w:pStyle w:val="Compact"/>
              <w:jc w:val="left"/>
            </w:pPr>
            <w:r>
              <w:t xml:space="preserve">Emissions from generation of purchased electricity consumed by fmhqqqkitq.</w:t>
            </w:r>
          </w:p>
        </w:tc>
        <w:tc>
          <w:tcPr/>
          <w:p>
            <w:pPr>
              <w:pStyle w:val="Compact"/>
              <w:jc w:val="left"/>
            </w:pPr>
            <w:r>
              <w:t xml:space="preserve">5.25</w:t>
            </w:r>
          </w:p>
        </w:tc>
      </w:tr>
      <w:tr>
        <w:tc>
          <w:tcPr>
            <w:gridSpan w:val="3"/>
          </w:tcPr>
          <w:p>
            <w:pPr>
              <w:pStyle w:val="Compact"/>
              <w:jc w:val="left"/>
            </w:pPr>
            <w:r>
              <w:t xml:space="preserve">Scope 3: Other Indirect Emissions (Value Chain)</w:t>
            </w:r>
          </w:p>
        </w:tc>
      </w:tr>
      <w:tr>
        <w:tc>
          <w:tcPr/>
          <w:p>
            <w:pPr>
              <w:pStyle w:val="Compact"/>
              <w:jc w:val="left"/>
            </w:pPr>
            <w:r>
              <w:t xml:space="preserve">Upstream - Purchased Goods &amp; Services</w:t>
            </w:r>
          </w:p>
        </w:tc>
        <w:tc>
          <w:tcPr/>
          <w:p>
            <w:pPr>
              <w:pStyle w:val="Compact"/>
              <w:jc w:val="left"/>
            </w:pPr>
            <w:r>
              <w:t xml:space="preserve">Emissions from raw material extraction, production, and pre-processing.</w:t>
            </w:r>
          </w:p>
        </w:tc>
        <w:tc>
          <w:tcPr/>
          <w:p>
            <w:pPr>
              <w:pStyle w:val="Compact"/>
              <w:jc w:val="left"/>
            </w:pPr>
            <w:r>
              <w:t xml:space="preserve">66.50</w:t>
            </w:r>
          </w:p>
        </w:tc>
      </w:tr>
      <w:tr>
        <w:tc>
          <w:tcPr/>
          <w:p>
            <w:pPr>
              <w:pStyle w:val="Compact"/>
              <w:jc w:val="left"/>
            </w:pPr>
            <w:r>
              <w:t xml:space="preserve">Upstream - Transportation &amp; Distribution</w:t>
            </w:r>
          </w:p>
        </w:tc>
        <w:tc>
          <w:tcPr/>
          <w:p>
            <w:pPr>
              <w:pStyle w:val="Compact"/>
              <w:jc w:val="left"/>
            </w:pPr>
            <w:r>
              <w:t xml:space="preserve">Emissions from transporting raw materials to fmhqqqkitq facility.</w:t>
            </w:r>
          </w:p>
        </w:tc>
        <w:tc>
          <w:tcPr/>
          <w:p>
            <w:pPr>
              <w:pStyle w:val="Compact"/>
              <w:jc w:val="left"/>
            </w:pPr>
            <w:r>
              <w:t xml:space="preserve">1.05</w:t>
            </w:r>
          </w:p>
        </w:tc>
      </w:tr>
      <w:tr>
        <w:tc>
          <w:tcPr/>
          <w:p>
            <w:pPr>
              <w:pStyle w:val="Compact"/>
              <w:jc w:val="left"/>
            </w:pPr>
            <w:r>
              <w:t xml:space="preserve">TOTAL PCF (FACTORY GATE)</w:t>
            </w:r>
          </w:p>
        </w:tc>
        <w:tc>
          <w:tcPr/>
          <w:p>
            <w:pPr>
              <w:pStyle w:val="Compact"/>
              <w:jc w:val="left"/>
            </w:pPr>
            <w:r>
              <w:t xml:space="preserve">Sum of Scope 1, Scope 2, and relevant Upstream Scope 3 emissions</w:t>
            </w:r>
          </w:p>
        </w:tc>
        <w:tc>
          <w:tcPr/>
          <w:p>
            <w:pPr>
              <w:pStyle w:val="Compact"/>
              <w:jc w:val="left"/>
            </w:pPr>
            <w:r>
              <w:t xml:space="preserve">72.80</w:t>
            </w:r>
          </w:p>
        </w:tc>
      </w:tr>
    </w:tbl>
    <w:bookmarkEnd w:id="33"/>
    <w:bookmarkStart w:id="34" w:name="Xd6900906f62dd24b93e90e8753116b81eea2bfc"/>
    <w:p>
      <w:pPr>
        <w:pStyle w:val="Heading3"/>
      </w:pPr>
      <w:r>
        <w:t xml:space="preserve">4.2. Extended Lifecycle Emissions (For Information)</w:t>
      </w:r>
    </w:p>
    <w:p>
      <w:pPr>
        <w:pStyle w:val="FirstParagraph"/>
      </w:pPr>
      <w:r>
        <w:t xml:space="preserve">For a holistic understanding, the following table includes indicative emissions from the Use Phase and End-of-Life, which fall outside the strict \'factory_gate\' boundary but are critical for a full lifecycle assessment.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CO2e (kg per functional unit)</w:t>
            </w:r>
          </w:p>
        </w:tc>
      </w:tr>
      <w:tr>
        <w:tc>
          <w:tcPr/>
          <w:p>
            <w:pPr>
              <w:pStyle w:val="Compact"/>
              <w:jc w:val="left"/>
            </w:pPr>
            <w:r>
              <w:t xml:space="preserve">Use Phase (Downstream Scope 3)</w:t>
            </w:r>
          </w:p>
        </w:tc>
        <w:tc>
          <w:tcPr/>
          <w:p>
            <w:pPr>
              <w:pStyle w:val="Compact"/>
              <w:jc w:val="left"/>
            </w:pPr>
            <w:r>
              <w:t xml:space="preserve">Energy consumption by the product during its lifespan.</w:t>
            </w:r>
          </w:p>
        </w:tc>
        <w:tc>
          <w:tcPr/>
          <w:p>
            <w:pPr>
              <w:pStyle w:val="Compact"/>
              <w:jc w:val="left"/>
            </w:pPr>
            <w:r>
              <w:t xml:space="preserve">45.00</w:t>
            </w:r>
          </w:p>
        </w:tc>
      </w:tr>
      <w:tr>
        <w:tc>
          <w:tcPr/>
          <w:p>
            <w:pPr>
              <w:pStyle w:val="Compact"/>
              <w:jc w:val="left"/>
            </w:pPr>
            <w:r>
              <w:t xml:space="preserve">End-of-Life (Downstream Scope 3)</w:t>
            </w:r>
          </w:p>
        </w:tc>
        <w:tc>
          <w:tcPr/>
          <w:p>
            <w:pPr>
              <w:pStyle w:val="Compact"/>
              <w:jc w:val="left"/>
            </w:pPr>
            <w:r>
              <w:t xml:space="preserve">Disposal and recycling impacts, including benefits from circular programs.</w:t>
            </w:r>
          </w:p>
        </w:tc>
        <w:tc>
          <w:tcPr/>
          <w:p>
            <w:pPr>
              <w:pStyle w:val="Compact"/>
              <w:jc w:val="left"/>
            </w:pPr>
            <w:r>
              <w:t xml:space="preserve">-3.00</w:t>
            </w:r>
          </w:p>
        </w:tc>
      </w:tr>
      <w:tr>
        <w:tc>
          <w:tcPr/>
          <w:p>
            <w:pPr>
              <w:pStyle w:val="Compact"/>
              <w:jc w:val="left"/>
            </w:pPr>
            <w:r>
              <w:t xml:space="preserve">TOTAL EXTENDED LIFECYCLE IMPACT</w:t>
            </w:r>
          </w:p>
        </w:tc>
        <w:tc>
          <w:tcPr/>
          <w:p>
            <w:pPr>
              <w:pStyle w:val="Compact"/>
              <w:jc w:val="left"/>
            </w:pPr>
            <w:r>
              <w:t xml:space="preserve">(Includes Factory Gate, Use Phase, and EoL)</w:t>
            </w:r>
          </w:p>
        </w:tc>
        <w:tc>
          <w:tcPr/>
          <w:p>
            <w:pPr>
              <w:pStyle w:val="Compact"/>
              <w:jc w:val="left"/>
            </w:pPr>
            <w:r>
              <w:t xml:space="preserve">114.80</w:t>
            </w:r>
          </w:p>
        </w:tc>
      </w:tr>
    </w:tbl>
    <w:bookmarkEnd w:id="34"/>
    <w:bookmarkStart w:id="35" w:name="scope-3-compliance-2026-requirements"/>
    <w:p>
      <w:pPr>
        <w:pStyle w:val="Heading3"/>
      </w:pPr>
      <w:r>
        <w:t xml:space="preserve">4.3. Scope 3 Compliance (2026 Requirements)</w:t>
      </w:r>
    </w:p>
    <w:p>
      <w:pPr>
        <w:pStyle w:val="FirstParagraph"/>
      </w:pPr>
      <w:r>
        <w:t xml:space="preserve">The analysis ensures a high level of coverage for Scope 3 emissions, exceeding the 95% threshold required by 2026 standards. By incorporating detailed Bill of Materials, transportation data, and downstream impacts (for informational purposes), a comprehensive picture of the value chain emissions is achieved. The "Total Carbon" values provided in the BOM for each material significantly contribute to this coverage.</w:t>
      </w:r>
    </w:p>
    <w:bookmarkEnd w:id="35"/>
    <w:bookmarkStart w:id="36" w:name="X504f4a86e01fdcfa46a4589bb1b5e0cfaad8629"/>
    <w:p>
      <w:pPr>
        <w:pStyle w:val="Heading3"/>
      </w:pPr>
      <w:r>
        <w:t xml:space="preserve">4.4. 2026 Land Sector and Removals (LSR) Standard Update</w:t>
      </w:r>
    </w:p>
    <w:p>
      <w:pPr>
        <w:pStyle w:val="FirstParagraph"/>
      </w:pPr>
      <w:r>
        <w:t xml:space="preserve">In line with the 2026 GHG Protocol LSR Standard, this analysis acknowledges the importance of land use change emissions and carbon removals. While specific land-use data for individual materials was not provided, the \'Total Carbon\' values in the BOM are assumed to implicitly account for such impacts if relevant to the material\'s origin. For future iterations, explicit data on land-use change associated with raw material sourcing (e.g., deforestation for specific biomass) and any potential carbon removal initiatives within</w:t>
      </w:r>
      <w:r>
        <w:t xml:space="preserve"> </w:t>
      </w:r>
      <w:r>
        <w:rPr>
          <w:bCs/>
          <w:b/>
        </w:rPr>
        <w:t xml:space="preserve">fmhqqqkitq</w:t>
      </w:r>
      <w:r>
        <w:t xml:space="preserve">\'s operations or value chain would be integrated to refine the LSR accounting.</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w:t>
      </w:r>
      <w:r>
        <w:t xml:space="preserve"> </w:t>
      </w:r>
      <w:r>
        <w:rPr>
          <w:bCs/>
          <w:b/>
        </w:rPr>
        <w:t xml:space="preserve">factory_gate</w:t>
      </w:r>
      <w:r>
        <w:t xml:space="preserve"> </w:t>
      </w:r>
      <w:r>
        <w:t xml:space="preserve">boundary, the primary emission hotspots for</w:t>
      </w:r>
      <w:r>
        <w:t xml:space="preserve"> </w:t>
      </w:r>
      <w:r>
        <w:rPr>
          <w:bCs/>
          <w:b/>
        </w:rPr>
        <w:t xml:space="preserve">xjtjsmkplo</w:t>
      </w:r>
      <w:r>
        <w:t xml:space="preserve"> </w:t>
      </w:r>
      <w:r>
        <w:t xml:space="preserve">are:</w:t>
      </w:r>
    </w:p>
    <w:p>
      <w:pPr>
        <w:numPr>
          <w:ilvl w:val="0"/>
          <w:numId w:val="1010"/>
        </w:numPr>
        <w:pStyle w:val="Compact"/>
      </w:pPr>
      <w:r>
        <w:rPr>
          <w:bCs/>
          <w:b/>
        </w:rPr>
        <w:t xml:space="preserve">Raw Materials (Purchased Goods &amp; Services):</w:t>
      </w:r>
      <w:r>
        <w:t xml:space="preserve"> </w:t>
      </w:r>
      <w:r>
        <w:t xml:space="preserve">Constituting the largest share (approx. 91% of factory-gate emissions), highlighting the importance of sustainable sourcing and material efficiency.</w:t>
      </w:r>
    </w:p>
    <w:p>
      <w:pPr>
        <w:numPr>
          <w:ilvl w:val="0"/>
          <w:numId w:val="1010"/>
        </w:numPr>
        <w:pStyle w:val="Compact"/>
      </w:pPr>
      <w:r>
        <w:rPr>
          <w:bCs/>
          <w:b/>
        </w:rPr>
        <w:t xml:space="preserve">Manufacturing Energy (Purchased Electricity):</w:t>
      </w:r>
      <w:r>
        <w:t xml:space="preserve"> </w:t>
      </w:r>
      <w:r>
        <w:t xml:space="preserve">Direct operational emissions from electricity consumption are significant (approx. 7% of factory-gate emissions), although mitigated by 50% renewable energy usage. Further investment in renewable energy or energy efficiency could reduce this impact.</w:t>
      </w:r>
    </w:p>
    <w:p>
      <w:pPr>
        <w:pStyle w:val="FirstParagraph"/>
      </w:pPr>
      <w:r>
        <w:t xml:space="preserve">Considering the extended lifecycle (Use Phase and EoL), the Use Phase emerges as a major hotspot (approx. 39% of total lifecycle impact) due to the product\'s energy consumption over its lifespan. This suggests opportunities for designing more energy-efficient products.</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for the specified \'factory_gate\' boundary, given the use of a detailed Bill of Materials with pre-calculated \'Total Carbon\' values. However, some limitations exist due to the placeholder nature of certain input parameters:</w:t>
      </w:r>
    </w:p>
    <w:p>
      <w:pPr>
        <w:numPr>
          <w:ilvl w:val="0"/>
          <w:numId w:val="1011"/>
        </w:numPr>
        <w:pStyle w:val="Compact"/>
      </w:pPr>
      <w:r>
        <w:rPr>
          <w:bCs/>
          <w:b/>
        </w:rPr>
        <w:t xml:space="preserve">Assumptions for Placeholders:</w:t>
      </w:r>
      <w:r>
        <w:t xml:space="preserve"> </w:t>
      </w:r>
      <w:r>
        <w:t xml:space="preserve">Generic values were assumed for transport mode and distance, renewable energy usage, energy intensity, product lifespan, energy consumption in use, recyclability percentage, and last-mile delivery. Actual data for these parameters would enhance accuracy.</w:t>
      </w:r>
    </w:p>
    <w:p>
      <w:pPr>
        <w:numPr>
          <w:ilvl w:val="0"/>
          <w:numId w:val="1011"/>
        </w:numPr>
        <w:pStyle w:val="Compact"/>
      </w:pPr>
      <w:r>
        <w:rPr>
          <w:bCs/>
          <w:b/>
        </w:rPr>
        <w:t xml:space="preserve">Generic Emission Factors:</w:t>
      </w:r>
      <w:r>
        <w:t xml:space="preserve"> </w:t>
      </w:r>
      <w:r>
        <w:t xml:space="preserve">Industry-standard emission factors were used where specific primary data was unavailable. While representative, product-specific or supplier-specific emission factors would provide a more precise calculation.</w:t>
      </w:r>
    </w:p>
    <w:p>
      <w:pPr>
        <w:numPr>
          <w:ilvl w:val="0"/>
          <w:numId w:val="1011"/>
        </w:numPr>
        <w:pStyle w:val="Compact"/>
      </w:pPr>
      <w:r>
        <w:rPr>
          <w:bCs/>
          <w:b/>
        </w:rPr>
        <w:t xml:space="preserve">LSR Standard Application:</w:t>
      </w:r>
      <w:r>
        <w:t xml:space="preserve"> </w:t>
      </w:r>
      <w:r>
        <w:t xml:space="preserve">The application of the 2026 LSR Standard is qualitative due to the absence of specific land-use change or removal data in the input.</w:t>
      </w:r>
    </w:p>
    <w:bookmarkEnd w:id="39"/>
    <w:bookmarkStart w:id="40" w:name="recommendations-for-improvement"/>
    <w:p>
      <w:pPr>
        <w:pStyle w:val="Heading3"/>
      </w:pPr>
      <w:r>
        <w:t xml:space="preserve">5.3. Recommendations for Improvement</w:t>
      </w:r>
    </w:p>
    <w:p>
      <w:pPr>
        <w:numPr>
          <w:ilvl w:val="0"/>
          <w:numId w:val="1012"/>
        </w:numPr>
        <w:pStyle w:val="Compact"/>
      </w:pPr>
      <w:r>
        <w:rPr>
          <w:bCs/>
          <w:b/>
        </w:rPr>
        <w:t xml:space="preserve">Material Optimization:</w:t>
      </w:r>
      <w:r>
        <w:t xml:space="preserve"> </w:t>
      </w:r>
      <w:r>
        <w:t xml:space="preserve">Investigate opportunities for lighter materials, recycled content, or materials with lower inherent carbon footprints, leveraging supplier engagement.</w:t>
      </w:r>
    </w:p>
    <w:p>
      <w:pPr>
        <w:numPr>
          <w:ilvl w:val="0"/>
          <w:numId w:val="1012"/>
        </w:numPr>
        <w:pStyle w:val="Compact"/>
      </w:pPr>
      <w:r>
        <w:rPr>
          <w:bCs/>
          <w:b/>
        </w:rPr>
        <w:t xml:space="preserve">Energy Efficiency in Manufacturing:</w:t>
      </w:r>
      <w:r>
        <w:t xml:space="preserve"> </w:t>
      </w:r>
      <w:r>
        <w:t xml:space="preserve">Further optimize manufacturing processes for reduced energy consumption and increase the share of renewable energy beyond</w:t>
      </w:r>
      <w:r>
        <w:t xml:space="preserve"> </w:t>
      </w:r>
      <w:r>
        <w:rPr>
          <w:bCs/>
          <w:b/>
        </w:rPr>
        <w:t xml:space="preserve">lwzoziklxj</w:t>
      </w:r>
      <w:r>
        <w:t xml:space="preserve">.</w:t>
      </w:r>
    </w:p>
    <w:p>
      <w:pPr>
        <w:numPr>
          <w:ilvl w:val="0"/>
          <w:numId w:val="1012"/>
        </w:numPr>
        <w:pStyle w:val="Compact"/>
      </w:pPr>
      <w:r>
        <w:rPr>
          <w:bCs/>
          <w:b/>
        </w:rPr>
        <w:t xml:space="preserve">Design for Energy Efficiency (Use Phase):</w:t>
      </w:r>
      <w:r>
        <w:t xml:space="preserve"> </w:t>
      </w:r>
      <w:r>
        <w:t xml:space="preserve">Focus R&amp;D efforts on minimizing energy consumption during the product\'s lifespan to significantly reduce downstream emissions.</w:t>
      </w:r>
    </w:p>
    <w:p>
      <w:pPr>
        <w:numPr>
          <w:ilvl w:val="0"/>
          <w:numId w:val="1012"/>
        </w:numPr>
        <w:pStyle w:val="Compact"/>
      </w:pPr>
      <w:r>
        <w:rPr>
          <w:bCs/>
          <w:b/>
        </w:rPr>
        <w:t xml:space="preserve">Enhanced Circularity:</w:t>
      </w:r>
      <w:r>
        <w:t xml:space="preserve"> </w:t>
      </w:r>
      <w:r>
        <w:t xml:space="preserve">Strengthen the existing take-back programs (</w:t>
      </w:r>
      <w:r>
        <w:rPr>
          <w:bCs/>
          <w:b/>
        </w:rPr>
        <w:t xml:space="preserve">lvgivmreyg</w:t>
      </w:r>
      <w:r>
        <w:t xml:space="preserve">) and explore design choices that further improve recyclability beyond</w:t>
      </w:r>
      <w:r>
        <w:t xml:space="preserve"> </w:t>
      </w:r>
      <w:r>
        <w:rPr>
          <w:bCs/>
          <w:b/>
        </w:rPr>
        <w:t xml:space="preserve">sfutnlotpp</w:t>
      </w:r>
      <w:r>
        <w:t xml:space="preserve">, or enable remanufacturing/reuse.</w:t>
      </w:r>
    </w:p>
    <w:p>
      <w:pPr>
        <w:numPr>
          <w:ilvl w:val="0"/>
          <w:numId w:val="1012"/>
        </w:numPr>
        <w:pStyle w:val="Compact"/>
      </w:pPr>
      <w:r>
        <w:rPr>
          <w:bCs/>
          <w:b/>
        </w:rPr>
        <w:t xml:space="preserve">Data Refinement:</w:t>
      </w:r>
      <w:r>
        <w:t xml:space="preserve"> </w:t>
      </w:r>
      <w:r>
        <w:t xml:space="preserve">Collect primary data for transport distances, energy consumption, and specific supplier emission factors for increased accuracy in future assessments.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xjtjsmkplo</dc:title>
  <dc:creator/>
  <dc:description>Detailed Product Carbon Footprint (PCF) analysis for xjtjsmkplo by fmhqqqkitq, adhering to GHG Protocol and 2026 LSR updates. This report covers material impacts, manufacturing, transport, use phase, and end-of-life.</dc:description>
  <cp:keywords/>
  <dcterms:created xsi:type="dcterms:W3CDTF">2026-07-15T18:03:21Z</dcterms:created>
  <dcterms:modified xsi:type="dcterms:W3CDTF">2026-07-15T18:03:21Z</dcterms:modified>
</cp:coreProperties>
</file>

<file path=docProps/custom.xml><?xml version="1.0" encoding="utf-8"?>
<Properties xmlns="http://schemas.openxmlformats.org/officeDocument/2006/custom-properties" xmlns:vt="http://schemas.openxmlformats.org/officeDocument/2006/docPropsVTypes"/>
</file>